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829" w:rsidRDefault="00802829" w:rsidP="00126343">
      <w:pPr>
        <w:widowControl w:val="0"/>
        <w:autoSpaceDE w:val="0"/>
        <w:autoSpaceDN w:val="0"/>
        <w:adjustRightInd w:val="0"/>
        <w:spacing w:line="360" w:lineRule="auto"/>
        <w:jc w:val="both"/>
        <w:rPr>
          <w:b/>
          <w:bCs/>
          <w:lang w:val="en-US"/>
        </w:rPr>
      </w:pPr>
    </w:p>
    <w:p w:rsidR="00126343" w:rsidRDefault="00126343" w:rsidP="00126343">
      <w:pPr>
        <w:widowControl w:val="0"/>
        <w:autoSpaceDE w:val="0"/>
        <w:autoSpaceDN w:val="0"/>
        <w:adjustRightInd w:val="0"/>
        <w:spacing w:line="360" w:lineRule="auto"/>
        <w:jc w:val="both"/>
        <w:rPr>
          <w:b/>
          <w:bCs/>
          <w:lang w:val="en-US"/>
        </w:rPr>
      </w:pPr>
      <w:r>
        <w:rPr>
          <w:b/>
          <w:bCs/>
          <w:lang w:val="en-US"/>
        </w:rPr>
        <w:t>IN THE SUPREME COURT OF NEW ZEALAND</w:t>
      </w:r>
      <w:r>
        <w:rPr>
          <w:b/>
          <w:bCs/>
          <w:lang w:val="en-US"/>
        </w:rPr>
        <w:tab/>
        <w:t>SC  48 /2008</w:t>
      </w:r>
    </w:p>
    <w:p w:rsidR="00126343" w:rsidRDefault="00126343" w:rsidP="00126343">
      <w:pPr>
        <w:widowControl w:val="0"/>
        <w:autoSpaceDE w:val="0"/>
        <w:autoSpaceDN w:val="0"/>
        <w:adjustRightInd w:val="0"/>
        <w:spacing w:line="360" w:lineRule="auto"/>
        <w:jc w:val="both"/>
        <w:rPr>
          <w:b/>
          <w:bCs/>
          <w:lang w:val="en-US"/>
        </w:rPr>
      </w:pP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t>[2008] NZSC 54</w:t>
      </w:r>
    </w:p>
    <w:p w:rsidR="00126343" w:rsidRDefault="00126343" w:rsidP="00126343">
      <w:pPr>
        <w:widowControl w:val="0"/>
        <w:autoSpaceDE w:val="0"/>
        <w:autoSpaceDN w:val="0"/>
        <w:adjustRightInd w:val="0"/>
        <w:spacing w:line="360" w:lineRule="auto"/>
        <w:jc w:val="both"/>
        <w:rPr>
          <w:lang w:val="en-US"/>
        </w:rPr>
      </w:pPr>
    </w:p>
    <w:p w:rsidR="00126343" w:rsidRDefault="00126343" w:rsidP="00126343">
      <w:pPr>
        <w:widowControl w:val="0"/>
        <w:autoSpaceDE w:val="0"/>
        <w:autoSpaceDN w:val="0"/>
        <w:adjustRightInd w:val="0"/>
        <w:spacing w:line="360" w:lineRule="auto"/>
        <w:jc w:val="both"/>
        <w:rPr>
          <w:lang w:val="en-US"/>
        </w:rPr>
      </w:pPr>
    </w:p>
    <w:p w:rsidR="00126343" w:rsidRDefault="00126343" w:rsidP="00126343">
      <w:pPr>
        <w:widowControl w:val="0"/>
        <w:autoSpaceDE w:val="0"/>
        <w:autoSpaceDN w:val="0"/>
        <w:adjustRightInd w:val="0"/>
        <w:spacing w:line="360" w:lineRule="auto"/>
        <w:jc w:val="both"/>
        <w:rPr>
          <w:lang w:val="en-US"/>
        </w:rPr>
      </w:pPr>
    </w:p>
    <w:p w:rsidR="00126343" w:rsidRDefault="00126343" w:rsidP="00126343">
      <w:pPr>
        <w:widowControl w:val="0"/>
        <w:autoSpaceDE w:val="0"/>
        <w:autoSpaceDN w:val="0"/>
        <w:adjustRightInd w:val="0"/>
        <w:spacing w:line="360" w:lineRule="auto"/>
        <w:ind w:left="5040" w:hanging="1440"/>
        <w:jc w:val="both"/>
        <w:rPr>
          <w:lang w:val="en-US"/>
        </w:rPr>
      </w:pPr>
      <w:r>
        <w:rPr>
          <w:lang w:val="en-US"/>
        </w:rPr>
        <w:t>Between</w:t>
      </w:r>
      <w:r>
        <w:rPr>
          <w:lang w:val="en-US"/>
        </w:rPr>
        <w:tab/>
      </w:r>
      <w:r>
        <w:rPr>
          <w:b/>
          <w:bCs/>
          <w:lang w:val="en-US"/>
        </w:rPr>
        <w:t>Vince Siemer</w:t>
      </w:r>
    </w:p>
    <w:p w:rsidR="00126343" w:rsidRDefault="00126343" w:rsidP="00126343">
      <w:pPr>
        <w:widowControl w:val="0"/>
        <w:autoSpaceDE w:val="0"/>
        <w:autoSpaceDN w:val="0"/>
        <w:adjustRightInd w:val="0"/>
        <w:spacing w:line="360" w:lineRule="auto"/>
        <w:jc w:val="both"/>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t>Appellant</w:t>
      </w:r>
    </w:p>
    <w:p w:rsidR="00126343" w:rsidRDefault="00126343" w:rsidP="00126343">
      <w:pPr>
        <w:widowControl w:val="0"/>
        <w:autoSpaceDE w:val="0"/>
        <w:autoSpaceDN w:val="0"/>
        <w:adjustRightInd w:val="0"/>
        <w:spacing w:line="360" w:lineRule="auto"/>
        <w:jc w:val="both"/>
        <w:rPr>
          <w:lang w:val="en-US"/>
        </w:rPr>
      </w:pPr>
    </w:p>
    <w:p w:rsidR="00126343" w:rsidRDefault="00126343" w:rsidP="00126343">
      <w:pPr>
        <w:widowControl w:val="0"/>
        <w:autoSpaceDE w:val="0"/>
        <w:autoSpaceDN w:val="0"/>
        <w:adjustRightInd w:val="0"/>
        <w:spacing w:line="360" w:lineRule="auto"/>
        <w:jc w:val="both"/>
        <w:rPr>
          <w:lang w:val="en-US"/>
        </w:rPr>
      </w:pPr>
    </w:p>
    <w:p w:rsidR="00126343" w:rsidRDefault="00126343" w:rsidP="00126343">
      <w:pPr>
        <w:widowControl w:val="0"/>
        <w:autoSpaceDE w:val="0"/>
        <w:autoSpaceDN w:val="0"/>
        <w:adjustRightInd w:val="0"/>
        <w:spacing w:line="360" w:lineRule="auto"/>
        <w:ind w:left="5040" w:hanging="1440"/>
        <w:jc w:val="both"/>
        <w:rPr>
          <w:b/>
          <w:bCs/>
          <w:lang w:val="en-US"/>
        </w:rPr>
      </w:pPr>
      <w:r>
        <w:rPr>
          <w:lang w:val="en-US"/>
        </w:rPr>
        <w:t>And</w:t>
      </w:r>
      <w:r>
        <w:rPr>
          <w:lang w:val="en-US"/>
        </w:rPr>
        <w:tab/>
      </w:r>
      <w:r>
        <w:rPr>
          <w:b/>
          <w:bCs/>
          <w:lang w:val="en-US"/>
        </w:rPr>
        <w:t xml:space="preserve">Solicitor General of New Zealand </w:t>
      </w:r>
    </w:p>
    <w:p w:rsidR="00126343" w:rsidRDefault="00126343" w:rsidP="00126343">
      <w:pPr>
        <w:widowControl w:val="0"/>
        <w:autoSpaceDE w:val="0"/>
        <w:autoSpaceDN w:val="0"/>
        <w:adjustRightInd w:val="0"/>
        <w:spacing w:line="360" w:lineRule="auto"/>
        <w:ind w:left="5040"/>
        <w:jc w:val="both"/>
        <w:rPr>
          <w:lang w:val="en-US"/>
        </w:rPr>
      </w:pPr>
      <w:r>
        <w:rPr>
          <w:lang w:val="en-US"/>
        </w:rPr>
        <w:t xml:space="preserve">Respondent </w:t>
      </w:r>
    </w:p>
    <w:p w:rsidR="00126343" w:rsidRDefault="00126343" w:rsidP="00126343">
      <w:pPr>
        <w:widowControl w:val="0"/>
        <w:autoSpaceDE w:val="0"/>
        <w:autoSpaceDN w:val="0"/>
        <w:adjustRightInd w:val="0"/>
        <w:spacing w:line="360" w:lineRule="auto"/>
        <w:ind w:left="5040" w:hanging="1440"/>
        <w:jc w:val="both"/>
        <w:rPr>
          <w:lang w:val="en-US"/>
        </w:rPr>
      </w:pPr>
    </w:p>
    <w:p w:rsidR="00126343" w:rsidRDefault="00126343" w:rsidP="00126343">
      <w:pPr>
        <w:widowControl w:val="0"/>
        <w:autoSpaceDE w:val="0"/>
        <w:autoSpaceDN w:val="0"/>
        <w:adjustRightInd w:val="0"/>
        <w:spacing w:line="360" w:lineRule="auto"/>
        <w:ind w:left="5040" w:hanging="1440"/>
        <w:jc w:val="both"/>
        <w:rPr>
          <w:lang w:val="en-US"/>
        </w:rPr>
      </w:pPr>
    </w:p>
    <w:p w:rsidR="00126343" w:rsidRDefault="00126343" w:rsidP="00126343">
      <w:pPr>
        <w:widowControl w:val="0"/>
        <w:autoSpaceDE w:val="0"/>
        <w:autoSpaceDN w:val="0"/>
        <w:adjustRightInd w:val="0"/>
        <w:spacing w:line="360" w:lineRule="auto"/>
        <w:ind w:left="5040" w:hanging="1440"/>
        <w:jc w:val="both"/>
        <w:rPr>
          <w:lang w:val="en-US"/>
        </w:rPr>
      </w:pPr>
    </w:p>
    <w:p w:rsidR="00126343" w:rsidRDefault="00126343" w:rsidP="00126343">
      <w:pPr>
        <w:widowControl w:val="0"/>
        <w:autoSpaceDE w:val="0"/>
        <w:autoSpaceDN w:val="0"/>
        <w:adjustRightInd w:val="0"/>
        <w:spacing w:line="360" w:lineRule="auto"/>
        <w:ind w:left="5040" w:hanging="1440"/>
        <w:jc w:val="both"/>
        <w:rPr>
          <w:lang w:val="en-US"/>
        </w:rPr>
      </w:pPr>
    </w:p>
    <w:p w:rsidR="00126343" w:rsidRDefault="00126343" w:rsidP="00126343">
      <w:pPr>
        <w:widowControl w:val="0"/>
        <w:autoSpaceDE w:val="0"/>
        <w:autoSpaceDN w:val="0"/>
        <w:adjustRightInd w:val="0"/>
        <w:spacing w:line="360" w:lineRule="auto"/>
        <w:jc w:val="both"/>
        <w:rPr>
          <w:lang w:val="en-US"/>
        </w:rPr>
      </w:pPr>
      <w:r>
        <w:rPr>
          <w:lang w:val="en-US"/>
        </w:rPr>
        <w:t>_____________________________________________________________________</w:t>
      </w:r>
    </w:p>
    <w:p w:rsidR="00126343" w:rsidRDefault="00126343" w:rsidP="00126343">
      <w:pPr>
        <w:pStyle w:val="Footer"/>
        <w:widowControl w:val="0"/>
        <w:tabs>
          <w:tab w:val="clear" w:pos="4153"/>
          <w:tab w:val="clear" w:pos="8306"/>
        </w:tabs>
        <w:autoSpaceDE w:val="0"/>
        <w:autoSpaceDN w:val="0"/>
        <w:adjustRightInd w:val="0"/>
        <w:spacing w:line="360" w:lineRule="auto"/>
        <w:jc w:val="both"/>
        <w:rPr>
          <w:lang w:val="en-US"/>
        </w:rPr>
      </w:pPr>
    </w:p>
    <w:p w:rsidR="00126343" w:rsidRDefault="00126343" w:rsidP="00126343">
      <w:pPr>
        <w:pStyle w:val="BodyText"/>
      </w:pPr>
      <w:r>
        <w:t>APPLICATION FOR RECALL of SUPREME COURT JUDGMENT dated 17 May 2010</w:t>
      </w:r>
    </w:p>
    <w:p w:rsidR="00126343" w:rsidRDefault="00126343" w:rsidP="00126343">
      <w:pPr>
        <w:pStyle w:val="BodyText"/>
      </w:pPr>
      <w:r>
        <w:t xml:space="preserve">Application dated: </w:t>
      </w:r>
      <w:r w:rsidR="008B0B13">
        <w:t xml:space="preserve">June </w:t>
      </w:r>
      <w:r>
        <w:t>2010</w:t>
      </w:r>
    </w:p>
    <w:p w:rsidR="00126343" w:rsidRDefault="00126343" w:rsidP="00126343">
      <w:pPr>
        <w:widowControl w:val="0"/>
        <w:autoSpaceDE w:val="0"/>
        <w:autoSpaceDN w:val="0"/>
        <w:adjustRightInd w:val="0"/>
        <w:ind w:left="5040" w:hanging="5040"/>
        <w:jc w:val="both"/>
        <w:rPr>
          <w:lang w:val="en-US"/>
        </w:rPr>
      </w:pPr>
    </w:p>
    <w:p w:rsidR="00126343" w:rsidRDefault="00126343" w:rsidP="00126343">
      <w:pPr>
        <w:widowControl w:val="0"/>
        <w:autoSpaceDE w:val="0"/>
        <w:autoSpaceDN w:val="0"/>
        <w:adjustRightInd w:val="0"/>
        <w:ind w:left="5040" w:hanging="5040"/>
        <w:jc w:val="both"/>
        <w:rPr>
          <w:lang w:val="en-US"/>
        </w:rPr>
      </w:pPr>
    </w:p>
    <w:p w:rsidR="00126343" w:rsidRDefault="00126343" w:rsidP="00126343">
      <w:pPr>
        <w:widowControl w:val="0"/>
        <w:autoSpaceDE w:val="0"/>
        <w:autoSpaceDN w:val="0"/>
        <w:adjustRightInd w:val="0"/>
        <w:ind w:left="5040" w:hanging="5040"/>
        <w:jc w:val="both"/>
        <w:rPr>
          <w:lang w:val="en-US"/>
        </w:rPr>
      </w:pPr>
    </w:p>
    <w:p w:rsidR="00126343" w:rsidRDefault="00126343" w:rsidP="00126343">
      <w:pPr>
        <w:widowControl w:val="0"/>
        <w:autoSpaceDE w:val="0"/>
        <w:autoSpaceDN w:val="0"/>
        <w:adjustRightInd w:val="0"/>
        <w:ind w:left="5040" w:hanging="5040"/>
        <w:jc w:val="both"/>
        <w:rPr>
          <w:lang w:val="en-US"/>
        </w:rPr>
      </w:pPr>
    </w:p>
    <w:p w:rsidR="00126343" w:rsidRDefault="00126343" w:rsidP="00126343">
      <w:pPr>
        <w:widowControl w:val="0"/>
        <w:autoSpaceDE w:val="0"/>
        <w:autoSpaceDN w:val="0"/>
        <w:adjustRightInd w:val="0"/>
        <w:ind w:left="5040" w:hanging="5040"/>
        <w:jc w:val="both"/>
        <w:rPr>
          <w:lang w:val="en-US"/>
        </w:rPr>
      </w:pPr>
    </w:p>
    <w:p w:rsidR="00126343" w:rsidRDefault="00126343" w:rsidP="00126343">
      <w:pPr>
        <w:widowControl w:val="0"/>
        <w:autoSpaceDE w:val="0"/>
        <w:autoSpaceDN w:val="0"/>
        <w:adjustRightInd w:val="0"/>
        <w:ind w:left="5040" w:hanging="5040"/>
        <w:jc w:val="both"/>
        <w:rPr>
          <w:lang w:val="en-US"/>
        </w:rPr>
      </w:pPr>
    </w:p>
    <w:p w:rsidR="00126343" w:rsidRDefault="00126343" w:rsidP="00126343">
      <w:pPr>
        <w:widowControl w:val="0"/>
        <w:autoSpaceDE w:val="0"/>
        <w:autoSpaceDN w:val="0"/>
        <w:adjustRightInd w:val="0"/>
        <w:ind w:left="5040" w:hanging="5040"/>
        <w:jc w:val="both"/>
        <w:rPr>
          <w:lang w:val="en-US"/>
        </w:rPr>
      </w:pPr>
    </w:p>
    <w:p w:rsidR="00126343" w:rsidRDefault="00126343" w:rsidP="00126343">
      <w:pPr>
        <w:widowControl w:val="0"/>
        <w:autoSpaceDE w:val="0"/>
        <w:autoSpaceDN w:val="0"/>
        <w:adjustRightInd w:val="0"/>
        <w:ind w:left="5040" w:hanging="5040"/>
        <w:jc w:val="both"/>
        <w:rPr>
          <w:lang w:val="en-US"/>
        </w:rPr>
      </w:pPr>
    </w:p>
    <w:p w:rsidR="00126343" w:rsidRDefault="00126343" w:rsidP="00126343">
      <w:pPr>
        <w:widowControl w:val="0"/>
        <w:autoSpaceDE w:val="0"/>
        <w:autoSpaceDN w:val="0"/>
        <w:adjustRightInd w:val="0"/>
        <w:ind w:left="5040" w:hanging="5040"/>
        <w:jc w:val="both"/>
        <w:rPr>
          <w:lang w:val="en-US"/>
        </w:rPr>
      </w:pPr>
    </w:p>
    <w:p w:rsidR="008B0B13" w:rsidRDefault="008B0B13" w:rsidP="00126343">
      <w:pPr>
        <w:widowControl w:val="0"/>
        <w:autoSpaceDE w:val="0"/>
        <w:autoSpaceDN w:val="0"/>
        <w:adjustRightInd w:val="0"/>
        <w:ind w:left="5040" w:hanging="5040"/>
        <w:jc w:val="both"/>
        <w:rPr>
          <w:lang w:val="en-US"/>
        </w:rPr>
      </w:pPr>
    </w:p>
    <w:p w:rsidR="00126343" w:rsidRDefault="00126343" w:rsidP="00126343">
      <w:pPr>
        <w:widowControl w:val="0"/>
        <w:autoSpaceDE w:val="0"/>
        <w:autoSpaceDN w:val="0"/>
        <w:adjustRightInd w:val="0"/>
        <w:ind w:left="5040" w:hanging="5040"/>
        <w:jc w:val="both"/>
        <w:rPr>
          <w:lang w:val="en-US"/>
        </w:rPr>
      </w:pPr>
    </w:p>
    <w:p w:rsidR="00126343" w:rsidRDefault="00126343" w:rsidP="00126343">
      <w:pPr>
        <w:widowControl w:val="0"/>
        <w:autoSpaceDE w:val="0"/>
        <w:autoSpaceDN w:val="0"/>
        <w:adjustRightInd w:val="0"/>
        <w:ind w:left="5040" w:hanging="5040"/>
        <w:jc w:val="both"/>
        <w:rPr>
          <w:lang w:val="en-US"/>
        </w:rPr>
      </w:pPr>
    </w:p>
    <w:p w:rsidR="00126343" w:rsidRDefault="00126343" w:rsidP="00126343">
      <w:pPr>
        <w:widowControl w:val="0"/>
        <w:autoSpaceDE w:val="0"/>
        <w:autoSpaceDN w:val="0"/>
        <w:adjustRightInd w:val="0"/>
        <w:ind w:left="5040" w:hanging="5040"/>
        <w:jc w:val="both"/>
        <w:rPr>
          <w:lang w:val="en-US"/>
        </w:rPr>
      </w:pPr>
    </w:p>
    <w:p w:rsidR="00126343" w:rsidRDefault="00126343" w:rsidP="00126343">
      <w:pPr>
        <w:widowControl w:val="0"/>
        <w:autoSpaceDE w:val="0"/>
        <w:autoSpaceDN w:val="0"/>
        <w:adjustRightInd w:val="0"/>
        <w:jc w:val="center"/>
        <w:rPr>
          <w:lang w:val="en-US"/>
        </w:rPr>
      </w:pPr>
      <w:r>
        <w:rPr>
          <w:lang w:val="en-US"/>
        </w:rPr>
        <w:t>Submitted by:</w:t>
      </w:r>
    </w:p>
    <w:p w:rsidR="00126343" w:rsidRDefault="00126343" w:rsidP="00126343">
      <w:pPr>
        <w:widowControl w:val="0"/>
        <w:autoSpaceDE w:val="0"/>
        <w:autoSpaceDN w:val="0"/>
        <w:adjustRightInd w:val="0"/>
        <w:spacing w:line="360" w:lineRule="auto"/>
        <w:jc w:val="center"/>
        <w:rPr>
          <w:lang w:val="en-US"/>
        </w:rPr>
      </w:pPr>
      <w:r>
        <w:rPr>
          <w:b/>
          <w:bCs/>
          <w:lang w:val="en-US"/>
        </w:rPr>
        <w:t>Vince Siemer</w:t>
      </w:r>
    </w:p>
    <w:p w:rsidR="00126343" w:rsidRDefault="00126343" w:rsidP="00126343">
      <w:pPr>
        <w:widowControl w:val="0"/>
        <w:autoSpaceDE w:val="0"/>
        <w:autoSpaceDN w:val="0"/>
        <w:adjustRightInd w:val="0"/>
        <w:spacing w:line="360" w:lineRule="auto"/>
        <w:jc w:val="center"/>
        <w:rPr>
          <w:lang w:val="en-US"/>
        </w:rPr>
      </w:pPr>
      <w:r>
        <w:rPr>
          <w:lang w:val="en-US"/>
        </w:rPr>
        <w:t>27 Clansman Terrace, Gulf Harbour (fax) 09 428 2521</w:t>
      </w:r>
    </w:p>
    <w:p w:rsidR="00126343" w:rsidRPr="00126343" w:rsidRDefault="00126343" w:rsidP="00115506">
      <w:pPr>
        <w:widowControl w:val="0"/>
        <w:autoSpaceDE w:val="0"/>
        <w:autoSpaceDN w:val="0"/>
        <w:adjustRightInd w:val="0"/>
        <w:spacing w:line="360" w:lineRule="auto"/>
        <w:rPr>
          <w:b/>
          <w:bCs/>
        </w:rPr>
      </w:pPr>
      <w:r>
        <w:rPr>
          <w:lang w:val="en-US"/>
        </w:rPr>
        <w:br w:type="column"/>
      </w:r>
      <w:r w:rsidRPr="00E87788">
        <w:rPr>
          <w:rFonts w:ascii="Arial Narrow" w:hAnsi="Arial Narrow"/>
          <w:b/>
        </w:rPr>
        <w:lastRenderedPageBreak/>
        <w:t>To the Registrar of the Supreme Court:</w:t>
      </w:r>
    </w:p>
    <w:p w:rsidR="00126343" w:rsidRPr="00E87788" w:rsidRDefault="00126343" w:rsidP="00126343">
      <w:pPr>
        <w:spacing w:line="360" w:lineRule="auto"/>
        <w:rPr>
          <w:rFonts w:ascii="Arial Narrow" w:hAnsi="Arial Narrow"/>
          <w:sz w:val="20"/>
          <w:szCs w:val="20"/>
        </w:rPr>
      </w:pPr>
    </w:p>
    <w:p w:rsidR="00126343" w:rsidRPr="00CE2936" w:rsidRDefault="00126343" w:rsidP="00126343">
      <w:pPr>
        <w:spacing w:line="360" w:lineRule="auto"/>
        <w:jc w:val="both"/>
        <w:rPr>
          <w:rFonts w:ascii="Arial Narrow" w:hAnsi="Arial Narrow"/>
        </w:rPr>
      </w:pPr>
      <w:r w:rsidRPr="00CE2936">
        <w:rPr>
          <w:rFonts w:ascii="Arial Narrow" w:hAnsi="Arial Narrow"/>
          <w:b/>
        </w:rPr>
        <w:t>VINCE SIEMER,</w:t>
      </w:r>
      <w:r w:rsidRPr="00CE2936">
        <w:rPr>
          <w:rFonts w:ascii="Arial Narrow" w:hAnsi="Arial Narrow"/>
        </w:rPr>
        <w:t xml:space="preserve"> the appellant in the proceeding identified above, gives notice that I hereby apply for </w:t>
      </w:r>
      <w:r>
        <w:rPr>
          <w:rFonts w:ascii="Arial Narrow" w:hAnsi="Arial Narrow"/>
        </w:rPr>
        <w:t xml:space="preserve">recall of the decision of </w:t>
      </w:r>
      <w:r w:rsidRPr="00CE2936">
        <w:rPr>
          <w:rFonts w:ascii="Arial Narrow" w:hAnsi="Arial Narrow"/>
        </w:rPr>
        <w:t>the Supreme Court</w:t>
      </w:r>
      <w:r>
        <w:rPr>
          <w:rFonts w:ascii="Arial Narrow" w:hAnsi="Arial Narrow"/>
        </w:rPr>
        <w:t xml:space="preserve"> SC48</w:t>
      </w:r>
      <w:r w:rsidRPr="00CE2936">
        <w:rPr>
          <w:rFonts w:ascii="Arial Narrow" w:hAnsi="Arial Narrow"/>
        </w:rPr>
        <w:t>/20</w:t>
      </w:r>
      <w:r>
        <w:rPr>
          <w:rFonts w:ascii="Arial Narrow" w:hAnsi="Arial Narrow"/>
        </w:rPr>
        <w:t>10</w:t>
      </w:r>
      <w:r w:rsidRPr="00CE2936">
        <w:rPr>
          <w:rFonts w:ascii="Arial Narrow" w:hAnsi="Arial Narrow"/>
        </w:rPr>
        <w:t xml:space="preserve"> [20</w:t>
      </w:r>
      <w:r>
        <w:rPr>
          <w:rFonts w:ascii="Arial Narrow" w:hAnsi="Arial Narrow"/>
        </w:rPr>
        <w:t>10</w:t>
      </w:r>
      <w:r w:rsidRPr="00CE2936">
        <w:rPr>
          <w:rFonts w:ascii="Arial Narrow" w:hAnsi="Arial Narrow"/>
        </w:rPr>
        <w:t xml:space="preserve">] NZSC </w:t>
      </w:r>
      <w:r>
        <w:rPr>
          <w:rFonts w:ascii="Arial Narrow" w:hAnsi="Arial Narrow"/>
        </w:rPr>
        <w:t xml:space="preserve">54, </w:t>
      </w:r>
      <w:r w:rsidRPr="00CE2936">
        <w:rPr>
          <w:rFonts w:ascii="Arial Narrow" w:hAnsi="Arial Narrow"/>
        </w:rPr>
        <w:t>dated 1</w:t>
      </w:r>
      <w:r>
        <w:rPr>
          <w:rFonts w:ascii="Arial Narrow" w:hAnsi="Arial Narrow"/>
        </w:rPr>
        <w:t>7</w:t>
      </w:r>
      <w:r w:rsidRPr="00CE2936">
        <w:rPr>
          <w:rFonts w:ascii="Arial Narrow" w:hAnsi="Arial Narrow"/>
        </w:rPr>
        <w:t xml:space="preserve"> </w:t>
      </w:r>
      <w:r>
        <w:rPr>
          <w:rFonts w:ascii="Arial Narrow" w:hAnsi="Arial Narrow"/>
        </w:rPr>
        <w:t>May 2010</w:t>
      </w:r>
      <w:r w:rsidRPr="00CE2936">
        <w:rPr>
          <w:rFonts w:ascii="Arial Narrow" w:hAnsi="Arial Narrow"/>
        </w:rPr>
        <w:t>.</w:t>
      </w:r>
    </w:p>
    <w:p w:rsidR="00126343" w:rsidRPr="00E87788" w:rsidRDefault="00126343" w:rsidP="00126343">
      <w:pPr>
        <w:spacing w:line="360" w:lineRule="auto"/>
        <w:jc w:val="both"/>
        <w:rPr>
          <w:rFonts w:ascii="Arial Narrow" w:hAnsi="Arial Narrow"/>
          <w:sz w:val="20"/>
          <w:szCs w:val="20"/>
        </w:rPr>
      </w:pPr>
    </w:p>
    <w:p w:rsidR="00126343" w:rsidRPr="00CE2936" w:rsidRDefault="00126343" w:rsidP="00126343">
      <w:pPr>
        <w:spacing w:line="360" w:lineRule="auto"/>
        <w:jc w:val="both"/>
        <w:rPr>
          <w:rFonts w:ascii="Arial Narrow" w:hAnsi="Arial Narrow"/>
        </w:rPr>
      </w:pPr>
      <w:r w:rsidRPr="00CE2936">
        <w:rPr>
          <w:rFonts w:ascii="Arial Narrow" w:hAnsi="Arial Narrow"/>
          <w:b/>
        </w:rPr>
        <w:t>THE SPECIFIC GROUNDS</w:t>
      </w:r>
      <w:r w:rsidRPr="00CE2936">
        <w:rPr>
          <w:rFonts w:ascii="Arial Narrow" w:hAnsi="Arial Narrow"/>
        </w:rPr>
        <w:t xml:space="preserve"> upon which the appellant seeks </w:t>
      </w:r>
      <w:r>
        <w:rPr>
          <w:rFonts w:ascii="Arial Narrow" w:hAnsi="Arial Narrow"/>
        </w:rPr>
        <w:t>recall</w:t>
      </w:r>
      <w:r w:rsidRPr="00CE2936">
        <w:rPr>
          <w:rFonts w:ascii="Arial Narrow" w:hAnsi="Arial Narrow"/>
        </w:rPr>
        <w:t xml:space="preserve"> </w:t>
      </w:r>
      <w:r>
        <w:rPr>
          <w:rFonts w:ascii="Arial Narrow" w:hAnsi="Arial Narrow"/>
        </w:rPr>
        <w:t xml:space="preserve">of the judgment </w:t>
      </w:r>
      <w:r w:rsidRPr="00CE2936">
        <w:rPr>
          <w:rFonts w:ascii="Arial Narrow" w:hAnsi="Arial Narrow"/>
        </w:rPr>
        <w:t xml:space="preserve">is that it is necessary in the interests of justice </w:t>
      </w:r>
      <w:r>
        <w:rPr>
          <w:rFonts w:ascii="Arial Narrow" w:hAnsi="Arial Narrow"/>
        </w:rPr>
        <w:t xml:space="preserve">and extreme public importance </w:t>
      </w:r>
      <w:r w:rsidRPr="00CE2936">
        <w:rPr>
          <w:rFonts w:ascii="Arial Narrow" w:hAnsi="Arial Narrow"/>
        </w:rPr>
        <w:t>due to</w:t>
      </w:r>
      <w:r w:rsidRPr="00CE2936">
        <w:rPr>
          <w:rStyle w:val="FootnoteReference"/>
          <w:rFonts w:ascii="Arial Narrow" w:hAnsi="Arial Narrow"/>
        </w:rPr>
        <w:footnoteReference w:id="1"/>
      </w:r>
      <w:r w:rsidRPr="00CE2936">
        <w:rPr>
          <w:rFonts w:ascii="Arial Narrow" w:hAnsi="Arial Narrow"/>
        </w:rPr>
        <w:t>:</w:t>
      </w:r>
    </w:p>
    <w:p w:rsidR="00126343" w:rsidRPr="00CE2936" w:rsidRDefault="00126343" w:rsidP="00126343">
      <w:pPr>
        <w:spacing w:line="360" w:lineRule="auto"/>
        <w:jc w:val="both"/>
        <w:rPr>
          <w:rFonts w:ascii="Arial Narrow" w:hAnsi="Arial Narrow"/>
          <w:sz w:val="16"/>
          <w:szCs w:val="16"/>
        </w:rPr>
      </w:pPr>
    </w:p>
    <w:p w:rsidR="00126343" w:rsidRPr="00B00FFD" w:rsidRDefault="00126343" w:rsidP="00B77055">
      <w:pPr>
        <w:spacing w:line="360" w:lineRule="auto"/>
        <w:jc w:val="both"/>
        <w:rPr>
          <w:rFonts w:ascii="Arial Narrow" w:hAnsi="Arial Narrow"/>
          <w:b/>
          <w:i/>
          <w:sz w:val="28"/>
          <w:szCs w:val="28"/>
        </w:rPr>
      </w:pPr>
      <w:r w:rsidRPr="00B00FFD">
        <w:rPr>
          <w:rFonts w:ascii="Arial Narrow" w:hAnsi="Arial Narrow"/>
          <w:b/>
          <w:i/>
          <w:sz w:val="28"/>
          <w:szCs w:val="28"/>
        </w:rPr>
        <w:t>The Supreme Court decision is unsafe.</w:t>
      </w:r>
    </w:p>
    <w:p w:rsidR="00126343" w:rsidRPr="008566A6" w:rsidRDefault="00126343" w:rsidP="00126343">
      <w:pPr>
        <w:spacing w:line="360" w:lineRule="auto"/>
        <w:ind w:left="360"/>
        <w:jc w:val="both"/>
        <w:rPr>
          <w:rFonts w:ascii="Arial Narrow" w:hAnsi="Arial Narrow"/>
          <w:sz w:val="16"/>
          <w:szCs w:val="16"/>
        </w:rPr>
      </w:pPr>
    </w:p>
    <w:p w:rsidR="008F3C35" w:rsidRPr="008F3C35" w:rsidRDefault="00C9674E" w:rsidP="008F3C35">
      <w:pPr>
        <w:numPr>
          <w:ilvl w:val="0"/>
          <w:numId w:val="2"/>
        </w:numPr>
        <w:spacing w:line="360" w:lineRule="auto"/>
        <w:jc w:val="both"/>
        <w:rPr>
          <w:rFonts w:ascii="Arial Narrow" w:hAnsi="Arial Narrow"/>
          <w:i/>
          <w:color w:val="000000"/>
        </w:rPr>
      </w:pPr>
      <w:r>
        <w:rPr>
          <w:rFonts w:ascii="Arial Narrow" w:hAnsi="Arial Narrow"/>
        </w:rPr>
        <w:t>The</w:t>
      </w:r>
      <w:r w:rsidR="008F3C35" w:rsidRPr="00BF21C8">
        <w:rPr>
          <w:rFonts w:ascii="Arial Narrow" w:hAnsi="Arial Narrow"/>
        </w:rPr>
        <w:t xml:space="preserve"> factual </w:t>
      </w:r>
      <w:r>
        <w:rPr>
          <w:rFonts w:ascii="Arial Narrow" w:hAnsi="Arial Narrow"/>
        </w:rPr>
        <w:t>question</w:t>
      </w:r>
      <w:r w:rsidR="008F3C35" w:rsidRPr="00BF21C8">
        <w:rPr>
          <w:rFonts w:ascii="Arial Narrow" w:hAnsi="Arial Narrow"/>
        </w:rPr>
        <w:t xml:space="preserve"> of </w:t>
      </w:r>
      <w:r>
        <w:rPr>
          <w:rFonts w:ascii="Arial Narrow" w:hAnsi="Arial Narrow"/>
        </w:rPr>
        <w:t>whether the appellant’s publications were in</w:t>
      </w:r>
      <w:r w:rsidR="008F3C35" w:rsidRPr="00BF21C8">
        <w:rPr>
          <w:rFonts w:ascii="Arial Narrow" w:hAnsi="Arial Narrow"/>
        </w:rPr>
        <w:t xml:space="preserve"> </w:t>
      </w:r>
      <w:r>
        <w:rPr>
          <w:rFonts w:ascii="Arial Narrow" w:hAnsi="Arial Narrow"/>
        </w:rPr>
        <w:t>breach</w:t>
      </w:r>
      <w:r w:rsidR="008F3C35" w:rsidRPr="00BF21C8">
        <w:rPr>
          <w:rFonts w:ascii="Arial Narrow" w:hAnsi="Arial Narrow"/>
        </w:rPr>
        <w:t xml:space="preserve"> </w:t>
      </w:r>
      <w:r>
        <w:rPr>
          <w:rFonts w:ascii="Arial Narrow" w:hAnsi="Arial Narrow"/>
        </w:rPr>
        <w:t xml:space="preserve">of a gag injunction </w:t>
      </w:r>
      <w:r w:rsidR="008F3C35" w:rsidRPr="00BF21C8">
        <w:rPr>
          <w:rFonts w:ascii="Arial Narrow" w:hAnsi="Arial Narrow"/>
        </w:rPr>
        <w:t>was part of the Application for Leave</w:t>
      </w:r>
      <w:r>
        <w:rPr>
          <w:rFonts w:ascii="Arial Narrow" w:hAnsi="Arial Narrow"/>
        </w:rPr>
        <w:t xml:space="preserve"> against the Court of Appeal judgment – a judgment which the Supreme Court </w:t>
      </w:r>
      <w:r w:rsidR="007B6E4D">
        <w:rPr>
          <w:rFonts w:ascii="Arial Narrow" w:hAnsi="Arial Narrow"/>
        </w:rPr>
        <w:t>has now</w:t>
      </w:r>
      <w:r>
        <w:rPr>
          <w:rFonts w:ascii="Arial Narrow" w:hAnsi="Arial Narrow"/>
        </w:rPr>
        <w:t xml:space="preserve"> quash</w:t>
      </w:r>
      <w:r w:rsidR="007B6E4D">
        <w:rPr>
          <w:rFonts w:ascii="Arial Narrow" w:hAnsi="Arial Narrow"/>
        </w:rPr>
        <w:t>ed</w:t>
      </w:r>
      <w:r w:rsidR="008F3C35">
        <w:rPr>
          <w:rFonts w:ascii="Arial Narrow" w:hAnsi="Arial Narrow"/>
        </w:rPr>
        <w:t>.  T</w:t>
      </w:r>
      <w:r w:rsidR="008F3C35" w:rsidRPr="00BF21C8">
        <w:rPr>
          <w:rFonts w:ascii="Arial Narrow" w:hAnsi="Arial Narrow"/>
        </w:rPr>
        <w:t xml:space="preserve">he Minute of the </w:t>
      </w:r>
      <w:r>
        <w:rPr>
          <w:rFonts w:ascii="Arial Narrow" w:hAnsi="Arial Narrow"/>
        </w:rPr>
        <w:t xml:space="preserve">Supreme </w:t>
      </w:r>
      <w:r w:rsidR="008F3C35" w:rsidRPr="00BF21C8">
        <w:rPr>
          <w:rFonts w:ascii="Arial Narrow" w:hAnsi="Arial Narrow"/>
        </w:rPr>
        <w:t>Court dated 7 August 2009 explicit</w:t>
      </w:r>
      <w:r w:rsidR="008F3C35">
        <w:rPr>
          <w:rFonts w:ascii="Arial Narrow" w:hAnsi="Arial Narrow"/>
        </w:rPr>
        <w:t>ly included this</w:t>
      </w:r>
      <w:r w:rsidR="008F3C35" w:rsidRPr="00BF21C8">
        <w:rPr>
          <w:rFonts w:ascii="Arial Narrow" w:hAnsi="Arial Narrow"/>
        </w:rPr>
        <w:t xml:space="preserve"> as a valid ground. </w:t>
      </w:r>
      <w:r w:rsidR="008F3C35">
        <w:rPr>
          <w:rFonts w:ascii="Arial Narrow" w:hAnsi="Arial Narrow"/>
          <w:i/>
          <w:color w:val="000000"/>
        </w:rPr>
        <w:t xml:space="preserve">  </w:t>
      </w:r>
      <w:r w:rsidR="008F3C35" w:rsidRPr="008F3C35">
        <w:rPr>
          <w:rFonts w:ascii="Arial Narrow" w:hAnsi="Arial Narrow"/>
          <w:color w:val="000000"/>
        </w:rPr>
        <w:t>Despite this, b</w:t>
      </w:r>
      <w:r w:rsidR="008F3C35" w:rsidRPr="008F3C35">
        <w:rPr>
          <w:rFonts w:ascii="Arial Narrow" w:hAnsi="Arial Narrow"/>
        </w:rPr>
        <w:t>oth Counsel were</w:t>
      </w:r>
      <w:r w:rsidR="008F3C35">
        <w:rPr>
          <w:rFonts w:ascii="Arial Narrow" w:hAnsi="Arial Narrow"/>
        </w:rPr>
        <w:t xml:space="preserve"> made well aware</w:t>
      </w:r>
      <w:r w:rsidR="008F3C35" w:rsidRPr="008F3C35">
        <w:rPr>
          <w:rFonts w:ascii="Arial Narrow" w:hAnsi="Arial Narrow"/>
        </w:rPr>
        <w:t xml:space="preserve"> that the </w:t>
      </w:r>
      <w:r w:rsidR="00B00FFD">
        <w:rPr>
          <w:rFonts w:ascii="Arial Narrow" w:hAnsi="Arial Narrow"/>
        </w:rPr>
        <w:t xml:space="preserve">Supreme </w:t>
      </w:r>
      <w:r w:rsidR="008F3C35" w:rsidRPr="008F3C35">
        <w:rPr>
          <w:rFonts w:ascii="Arial Narrow" w:hAnsi="Arial Narrow"/>
        </w:rPr>
        <w:t xml:space="preserve">Court </w:t>
      </w:r>
      <w:r w:rsidR="008F3C35">
        <w:rPr>
          <w:rFonts w:ascii="Arial Narrow" w:hAnsi="Arial Narrow"/>
        </w:rPr>
        <w:t xml:space="preserve">bench </w:t>
      </w:r>
      <w:r w:rsidR="008F3C35" w:rsidRPr="008F3C35">
        <w:rPr>
          <w:rFonts w:ascii="Arial Narrow" w:hAnsi="Arial Narrow"/>
        </w:rPr>
        <w:t xml:space="preserve">did not </w:t>
      </w:r>
      <w:r w:rsidR="008F3C35">
        <w:rPr>
          <w:rFonts w:ascii="Arial Narrow" w:hAnsi="Arial Narrow"/>
        </w:rPr>
        <w:t>want</w:t>
      </w:r>
      <w:r w:rsidR="008F3C35" w:rsidRPr="008F3C35">
        <w:rPr>
          <w:rFonts w:ascii="Arial Narrow" w:hAnsi="Arial Narrow"/>
        </w:rPr>
        <w:t xml:space="preserve"> this valid </w:t>
      </w:r>
      <w:r w:rsidR="008F3C35" w:rsidRPr="000B1797">
        <w:rPr>
          <w:rFonts w:ascii="Arial Narrow" w:hAnsi="Arial Narrow"/>
        </w:rPr>
        <w:t>and accepted ground explored</w:t>
      </w:r>
      <w:r>
        <w:rPr>
          <w:rFonts w:ascii="Arial Narrow" w:hAnsi="Arial Narrow"/>
        </w:rPr>
        <w:t xml:space="preserve"> at the hearing</w:t>
      </w:r>
      <w:r w:rsidR="00B01115">
        <w:rPr>
          <w:rStyle w:val="FootnoteReference"/>
          <w:rFonts w:ascii="Arial Narrow" w:hAnsi="Arial Narrow"/>
        </w:rPr>
        <w:footnoteReference w:id="2"/>
      </w:r>
      <w:r w:rsidR="008F3C35" w:rsidRPr="000B1797">
        <w:rPr>
          <w:rFonts w:ascii="Arial Narrow" w:hAnsi="Arial Narrow"/>
        </w:rPr>
        <w:t>.</w:t>
      </w:r>
    </w:p>
    <w:p w:rsidR="008F3C35" w:rsidRPr="00B77055" w:rsidRDefault="008F3C35" w:rsidP="008F3C35">
      <w:pPr>
        <w:spacing w:line="360" w:lineRule="auto"/>
        <w:jc w:val="both"/>
        <w:rPr>
          <w:rFonts w:ascii="Arial Narrow" w:hAnsi="Arial Narrow"/>
          <w:i/>
          <w:color w:val="000000"/>
        </w:rPr>
      </w:pPr>
    </w:p>
    <w:p w:rsidR="00C9674E" w:rsidRPr="00C9674E" w:rsidRDefault="00C9674E" w:rsidP="00C9674E">
      <w:pPr>
        <w:numPr>
          <w:ilvl w:val="0"/>
          <w:numId w:val="2"/>
        </w:numPr>
        <w:spacing w:line="360" w:lineRule="auto"/>
        <w:jc w:val="both"/>
        <w:rPr>
          <w:rFonts w:ascii="Arial Narrow" w:hAnsi="Arial Narrow"/>
          <w:i/>
          <w:color w:val="000000"/>
        </w:rPr>
      </w:pPr>
      <w:r>
        <w:rPr>
          <w:rFonts w:ascii="Arial Narrow" w:hAnsi="Arial Narrow"/>
        </w:rPr>
        <w:t xml:space="preserve">In its reserved decision (subject of this recall application), the Supreme Court issued a </w:t>
      </w:r>
      <w:r w:rsidRPr="00C9674E">
        <w:rPr>
          <w:rFonts w:ascii="Arial Narrow" w:hAnsi="Arial Narrow"/>
          <w:i/>
        </w:rPr>
        <w:t>new</w:t>
      </w:r>
      <w:r>
        <w:rPr>
          <w:rFonts w:ascii="Arial Narrow" w:hAnsi="Arial Narrow"/>
        </w:rPr>
        <w:t xml:space="preserve"> judgment order sentencing the appellant to prison for </w:t>
      </w:r>
      <w:r w:rsidR="006F0BD9">
        <w:rPr>
          <w:rFonts w:ascii="Arial Narrow" w:hAnsi="Arial Narrow"/>
        </w:rPr>
        <w:t xml:space="preserve">(unspecified) </w:t>
      </w:r>
      <w:r>
        <w:rPr>
          <w:rFonts w:ascii="Arial Narrow" w:hAnsi="Arial Narrow"/>
        </w:rPr>
        <w:t>continuing breach of this</w:t>
      </w:r>
      <w:r w:rsidR="006F0BD9">
        <w:rPr>
          <w:rFonts w:ascii="Arial Narrow" w:hAnsi="Arial Narrow"/>
        </w:rPr>
        <w:t xml:space="preserve"> gag</w:t>
      </w:r>
      <w:r>
        <w:rPr>
          <w:rFonts w:ascii="Arial Narrow" w:hAnsi="Arial Narrow"/>
        </w:rPr>
        <w:t xml:space="preserve"> injunction.  </w:t>
      </w:r>
    </w:p>
    <w:p w:rsidR="00C9674E" w:rsidRDefault="00C9674E" w:rsidP="00C9674E">
      <w:pPr>
        <w:pStyle w:val="ListParagraph"/>
        <w:rPr>
          <w:rFonts w:ascii="Arial Narrow" w:hAnsi="Arial Narrow"/>
          <w:i/>
          <w:color w:val="000000"/>
        </w:rPr>
      </w:pPr>
    </w:p>
    <w:p w:rsidR="008F3C35" w:rsidRPr="00C9674E" w:rsidRDefault="00BB7A99" w:rsidP="008F3C35">
      <w:pPr>
        <w:numPr>
          <w:ilvl w:val="0"/>
          <w:numId w:val="2"/>
        </w:numPr>
        <w:spacing w:line="360" w:lineRule="auto"/>
        <w:jc w:val="both"/>
        <w:rPr>
          <w:rFonts w:ascii="Arial Narrow" w:hAnsi="Arial Narrow"/>
          <w:i/>
          <w:color w:val="000000"/>
        </w:rPr>
      </w:pPr>
      <w:r>
        <w:rPr>
          <w:rFonts w:ascii="Arial Narrow" w:hAnsi="Arial Narrow"/>
        </w:rPr>
        <w:t>Any</w:t>
      </w:r>
      <w:r w:rsidR="008F3C35" w:rsidRPr="00C9674E">
        <w:rPr>
          <w:rFonts w:ascii="Arial Narrow" w:hAnsi="Arial Narrow"/>
        </w:rPr>
        <w:t xml:space="preserve"> decision is un</w:t>
      </w:r>
      <w:r>
        <w:rPr>
          <w:rFonts w:ascii="Arial Narrow" w:hAnsi="Arial Narrow"/>
        </w:rPr>
        <w:t>safe</w:t>
      </w:r>
      <w:r w:rsidR="007B6E4D">
        <w:rPr>
          <w:rFonts w:ascii="Arial Narrow" w:hAnsi="Arial Narrow"/>
        </w:rPr>
        <w:t>, and the subject</w:t>
      </w:r>
      <w:r w:rsidR="008F3C35" w:rsidRPr="00C9674E">
        <w:rPr>
          <w:rFonts w:ascii="Arial Narrow" w:hAnsi="Arial Narrow"/>
        </w:rPr>
        <w:t xml:space="preserve"> Supreme Court decision logically impeached, when the bench relied upon unrepresentative quotes from Crown submissions to issue a </w:t>
      </w:r>
      <w:r w:rsidR="008F3C35" w:rsidRPr="00C9674E">
        <w:rPr>
          <w:rFonts w:ascii="Arial Narrow" w:hAnsi="Arial Narrow"/>
          <w:i/>
        </w:rPr>
        <w:t>new</w:t>
      </w:r>
      <w:r w:rsidR="008F3C35" w:rsidRPr="00C9674E">
        <w:rPr>
          <w:rFonts w:ascii="Arial Narrow" w:hAnsi="Arial Narrow"/>
        </w:rPr>
        <w:t xml:space="preserve"> guilty judgment.   I say “unrepresentative” because the particular quote </w:t>
      </w:r>
      <w:r w:rsidR="006046B3">
        <w:rPr>
          <w:rFonts w:ascii="Arial Narrow" w:hAnsi="Arial Narrow"/>
        </w:rPr>
        <w:t xml:space="preserve">relied upon </w:t>
      </w:r>
      <w:r w:rsidR="008F3C35" w:rsidRPr="00C9674E">
        <w:rPr>
          <w:rFonts w:ascii="Arial Narrow" w:hAnsi="Arial Narrow"/>
        </w:rPr>
        <w:t xml:space="preserve">was altered to omit </w:t>
      </w:r>
      <w:r w:rsidR="006F0BD9">
        <w:rPr>
          <w:rFonts w:ascii="Arial Narrow" w:hAnsi="Arial Narrow"/>
        </w:rPr>
        <w:t>words censored</w:t>
      </w:r>
      <w:r w:rsidR="008F3C35" w:rsidRPr="00C9674E">
        <w:rPr>
          <w:rFonts w:ascii="Arial Narrow" w:hAnsi="Arial Narrow"/>
        </w:rPr>
        <w:t xml:space="preserve"> in September 2007 </w:t>
      </w:r>
      <w:r w:rsidR="006046B3">
        <w:rPr>
          <w:rFonts w:ascii="Arial Narrow" w:hAnsi="Arial Narrow"/>
        </w:rPr>
        <w:t>– a</w:t>
      </w:r>
      <w:r w:rsidR="006F0BD9">
        <w:rPr>
          <w:rFonts w:ascii="Arial Narrow" w:hAnsi="Arial Narrow"/>
        </w:rPr>
        <w:t>n edit</w:t>
      </w:r>
      <w:r w:rsidR="006046B3">
        <w:rPr>
          <w:rFonts w:ascii="Arial Narrow" w:hAnsi="Arial Narrow"/>
        </w:rPr>
        <w:t xml:space="preserve"> </w:t>
      </w:r>
      <w:r w:rsidR="006F0BD9">
        <w:rPr>
          <w:rFonts w:ascii="Arial Narrow" w:hAnsi="Arial Narrow"/>
        </w:rPr>
        <w:t xml:space="preserve">which would have proven </w:t>
      </w:r>
      <w:r w:rsidR="008F3C35" w:rsidRPr="00C9674E">
        <w:rPr>
          <w:rFonts w:ascii="Arial Narrow" w:hAnsi="Arial Narrow"/>
        </w:rPr>
        <w:t>the appellant conformed to</w:t>
      </w:r>
      <w:r w:rsidR="006046B3">
        <w:rPr>
          <w:rFonts w:ascii="Arial Narrow" w:hAnsi="Arial Narrow"/>
        </w:rPr>
        <w:t xml:space="preserve"> the </w:t>
      </w:r>
      <w:r w:rsidR="008F3C35" w:rsidRPr="00C9674E">
        <w:rPr>
          <w:rFonts w:ascii="Arial Narrow" w:hAnsi="Arial Narrow"/>
        </w:rPr>
        <w:t xml:space="preserve">demands from the Solicitor General.  </w:t>
      </w:r>
    </w:p>
    <w:p w:rsidR="008F3C35" w:rsidRPr="008F3C35" w:rsidRDefault="008F3C35" w:rsidP="008F3C35">
      <w:pPr>
        <w:spacing w:line="360" w:lineRule="auto"/>
        <w:ind w:left="720"/>
        <w:jc w:val="both"/>
        <w:rPr>
          <w:rFonts w:ascii="Arial Narrow" w:hAnsi="Arial Narrow"/>
          <w:i/>
          <w:color w:val="000000"/>
        </w:rPr>
      </w:pPr>
    </w:p>
    <w:p w:rsidR="006C2A12" w:rsidRPr="006C2A12" w:rsidRDefault="007B6E4D" w:rsidP="00126343">
      <w:pPr>
        <w:numPr>
          <w:ilvl w:val="0"/>
          <w:numId w:val="2"/>
        </w:numPr>
        <w:spacing w:line="360" w:lineRule="auto"/>
        <w:jc w:val="both"/>
        <w:rPr>
          <w:rFonts w:ascii="Arial Narrow" w:hAnsi="Arial Narrow"/>
          <w:i/>
          <w:color w:val="000000"/>
        </w:rPr>
      </w:pPr>
      <w:r>
        <w:rPr>
          <w:rFonts w:ascii="Arial Narrow" w:hAnsi="Arial Narrow"/>
        </w:rPr>
        <w:t>While</w:t>
      </w:r>
      <w:r w:rsidR="006C2A12">
        <w:rPr>
          <w:rFonts w:ascii="Arial Narrow" w:hAnsi="Arial Narrow"/>
        </w:rPr>
        <w:t xml:space="preserve"> relying upon unrepresentative and unsworn stateme</w:t>
      </w:r>
      <w:r w:rsidR="006F0BD9">
        <w:rPr>
          <w:rFonts w:ascii="Arial Narrow" w:hAnsi="Arial Narrow"/>
        </w:rPr>
        <w:t>nts from counsel, the Court conversely</w:t>
      </w:r>
      <w:r w:rsidR="006C2A12">
        <w:rPr>
          <w:rFonts w:ascii="Arial Narrow" w:hAnsi="Arial Narrow"/>
        </w:rPr>
        <w:t xml:space="preserve"> ignored incontrovertible EVIDENCE it had before it which proved the appellant should have been acquitted on this valid appeal ground approved by the Court.</w:t>
      </w:r>
    </w:p>
    <w:p w:rsidR="006C2A12" w:rsidRDefault="006C2A12" w:rsidP="006C2A12">
      <w:pPr>
        <w:pStyle w:val="ListParagraph"/>
        <w:rPr>
          <w:rFonts w:ascii="Arial Narrow" w:hAnsi="Arial Narrow"/>
        </w:rPr>
      </w:pPr>
    </w:p>
    <w:p w:rsidR="006C2A12" w:rsidRPr="006C2A12" w:rsidRDefault="006C2A12" w:rsidP="00126343">
      <w:pPr>
        <w:numPr>
          <w:ilvl w:val="0"/>
          <w:numId w:val="2"/>
        </w:numPr>
        <w:spacing w:line="360" w:lineRule="auto"/>
        <w:jc w:val="both"/>
        <w:rPr>
          <w:rFonts w:ascii="Arial Narrow" w:hAnsi="Arial Narrow"/>
          <w:i/>
          <w:color w:val="000000"/>
        </w:rPr>
      </w:pPr>
      <w:r>
        <w:rPr>
          <w:rFonts w:ascii="Arial Narrow" w:hAnsi="Arial Narrow"/>
        </w:rPr>
        <w:t>The Affidavit</w:t>
      </w:r>
      <w:r w:rsidR="00B01115">
        <w:rPr>
          <w:rFonts w:ascii="Arial Narrow" w:hAnsi="Arial Narrow"/>
        </w:rPr>
        <w:t xml:space="preserve"> of Vincent Ross Siemer dated 21</w:t>
      </w:r>
      <w:r>
        <w:rPr>
          <w:rFonts w:ascii="Arial Narrow" w:hAnsi="Arial Narrow"/>
        </w:rPr>
        <w:t xml:space="preserve"> May 2010 is submitted with this recall application as further evidence this was the case.</w:t>
      </w:r>
    </w:p>
    <w:p w:rsidR="006C2A12" w:rsidRDefault="006C2A12" w:rsidP="006C2A12">
      <w:pPr>
        <w:pStyle w:val="ListParagraph"/>
        <w:rPr>
          <w:rFonts w:ascii="Arial Narrow" w:hAnsi="Arial Narrow"/>
        </w:rPr>
      </w:pPr>
    </w:p>
    <w:p w:rsidR="0051776E" w:rsidRPr="00587AA5" w:rsidRDefault="00BB7A99" w:rsidP="00126343">
      <w:pPr>
        <w:numPr>
          <w:ilvl w:val="0"/>
          <w:numId w:val="2"/>
        </w:numPr>
        <w:spacing w:line="360" w:lineRule="auto"/>
        <w:jc w:val="both"/>
        <w:rPr>
          <w:rFonts w:ascii="Arial Narrow" w:hAnsi="Arial Narrow"/>
          <w:i/>
          <w:color w:val="000000"/>
        </w:rPr>
      </w:pPr>
      <w:r>
        <w:rPr>
          <w:rFonts w:ascii="Arial Narrow" w:hAnsi="Arial Narrow"/>
        </w:rPr>
        <w:t xml:space="preserve">Another </w:t>
      </w:r>
      <w:r w:rsidR="00F05D35">
        <w:rPr>
          <w:rFonts w:ascii="Arial Narrow" w:hAnsi="Arial Narrow"/>
        </w:rPr>
        <w:t xml:space="preserve">accepted </w:t>
      </w:r>
      <w:r w:rsidR="006F0BD9">
        <w:rPr>
          <w:rFonts w:ascii="Arial Narrow" w:hAnsi="Arial Narrow"/>
        </w:rPr>
        <w:t xml:space="preserve">appeal </w:t>
      </w:r>
      <w:r>
        <w:rPr>
          <w:rFonts w:ascii="Arial Narrow" w:hAnsi="Arial Narrow"/>
        </w:rPr>
        <w:t>ground</w:t>
      </w:r>
      <w:r w:rsidR="00B77055">
        <w:rPr>
          <w:rFonts w:ascii="Arial Narrow" w:hAnsi="Arial Narrow"/>
        </w:rPr>
        <w:t xml:space="preserve"> was the constitutional ramifications of the </w:t>
      </w:r>
      <w:r w:rsidR="00CD138F">
        <w:rPr>
          <w:rFonts w:ascii="Arial Narrow" w:hAnsi="Arial Narrow"/>
        </w:rPr>
        <w:t xml:space="preserve">trial </w:t>
      </w:r>
      <w:r w:rsidR="00B77055">
        <w:rPr>
          <w:rFonts w:ascii="Arial Narrow" w:hAnsi="Arial Narrow"/>
        </w:rPr>
        <w:t>procedure adopted in the Courts below (and previously in New Zealand Law).</w:t>
      </w:r>
      <w:r w:rsidR="00587AA5">
        <w:rPr>
          <w:rFonts w:ascii="Arial Narrow" w:hAnsi="Arial Narrow"/>
        </w:rPr>
        <w:t xml:space="preserve">  On this ground, the Court of Appeal ruling against</w:t>
      </w:r>
      <w:r w:rsidR="006F0BD9">
        <w:rPr>
          <w:rFonts w:ascii="Arial Narrow" w:hAnsi="Arial Narrow"/>
        </w:rPr>
        <w:t xml:space="preserve"> the appellant</w:t>
      </w:r>
      <w:r w:rsidR="00587AA5">
        <w:rPr>
          <w:rFonts w:ascii="Arial Narrow" w:hAnsi="Arial Narrow"/>
        </w:rPr>
        <w:t xml:space="preserve"> could not legally be sustained and was quashed</w:t>
      </w:r>
      <w:r>
        <w:rPr>
          <w:rFonts w:ascii="Arial Narrow" w:hAnsi="Arial Narrow"/>
        </w:rPr>
        <w:t xml:space="preserve"> by the Supreme Court</w:t>
      </w:r>
      <w:r w:rsidR="00587AA5">
        <w:rPr>
          <w:rFonts w:ascii="Arial Narrow" w:hAnsi="Arial Narrow"/>
        </w:rPr>
        <w:t>.</w:t>
      </w:r>
    </w:p>
    <w:p w:rsidR="00587AA5" w:rsidRDefault="00587AA5" w:rsidP="00587AA5">
      <w:pPr>
        <w:pStyle w:val="ListParagraph"/>
        <w:rPr>
          <w:rFonts w:ascii="Arial Narrow" w:hAnsi="Arial Narrow"/>
          <w:i/>
          <w:color w:val="000000"/>
        </w:rPr>
      </w:pPr>
    </w:p>
    <w:p w:rsidR="00587AA5" w:rsidRPr="00587AA5" w:rsidRDefault="00BB7A99" w:rsidP="00587AA5">
      <w:pPr>
        <w:numPr>
          <w:ilvl w:val="0"/>
          <w:numId w:val="2"/>
        </w:numPr>
        <w:spacing w:line="360" w:lineRule="auto"/>
        <w:jc w:val="both"/>
        <w:rPr>
          <w:rFonts w:ascii="Arial Narrow" w:hAnsi="Arial Narrow"/>
          <w:i/>
          <w:color w:val="000000"/>
        </w:rPr>
      </w:pPr>
      <w:r>
        <w:rPr>
          <w:rFonts w:ascii="Arial Narrow" w:hAnsi="Arial Narrow"/>
          <w:color w:val="000000"/>
        </w:rPr>
        <w:t>T</w:t>
      </w:r>
      <w:r w:rsidR="00587AA5" w:rsidRPr="00587AA5">
        <w:rPr>
          <w:rFonts w:ascii="Arial Narrow" w:hAnsi="Arial Narrow"/>
          <w:color w:val="000000"/>
        </w:rPr>
        <w:t>he Supreme Court held</w:t>
      </w:r>
      <w:r w:rsidR="00587AA5" w:rsidRPr="00587AA5">
        <w:rPr>
          <w:rFonts w:ascii="Arial Narrow" w:hAnsi="Arial Narrow"/>
        </w:rPr>
        <w:t xml:space="preserve"> retrospectively</w:t>
      </w:r>
      <w:r w:rsidR="00587AA5">
        <w:rPr>
          <w:rFonts w:ascii="Arial Narrow" w:hAnsi="Arial Narrow"/>
        </w:rPr>
        <w:t xml:space="preserve"> the Solicitor General could not have gotten more than 3 months imprisonment, and presumably acted unlawfully</w:t>
      </w:r>
      <w:r w:rsidR="006F0BD9">
        <w:rPr>
          <w:rFonts w:ascii="Arial Narrow" w:hAnsi="Arial Narrow"/>
        </w:rPr>
        <w:t>,</w:t>
      </w:r>
      <w:r w:rsidR="00587AA5">
        <w:rPr>
          <w:rFonts w:ascii="Arial Narrow" w:hAnsi="Arial Narrow"/>
        </w:rPr>
        <w:t xml:space="preserve"> in seeking any term that could exceed that period. The Supreme Court found also that the High</w:t>
      </w:r>
      <w:r w:rsidR="00587AA5" w:rsidRPr="00587AA5">
        <w:rPr>
          <w:rFonts w:ascii="Arial Narrow" w:hAnsi="Arial Narrow"/>
        </w:rPr>
        <w:t xml:space="preserve"> Court was wrong and the Court of Appeal was wrong</w:t>
      </w:r>
      <w:r w:rsidR="006F0BD9">
        <w:rPr>
          <w:rFonts w:ascii="Arial Narrow" w:hAnsi="Arial Narrow"/>
        </w:rPr>
        <w:t xml:space="preserve"> (confirming the appellant’s position)</w:t>
      </w:r>
      <w:r w:rsidR="00587AA5" w:rsidRPr="00587AA5">
        <w:rPr>
          <w:rFonts w:ascii="Arial Narrow" w:hAnsi="Arial Narrow"/>
        </w:rPr>
        <w:t>.</w:t>
      </w:r>
    </w:p>
    <w:p w:rsidR="00B77055" w:rsidRPr="00B77055" w:rsidRDefault="00B77055" w:rsidP="0051776E">
      <w:pPr>
        <w:spacing w:line="360" w:lineRule="auto"/>
        <w:jc w:val="both"/>
        <w:rPr>
          <w:rFonts w:ascii="Arial Narrow" w:hAnsi="Arial Narrow"/>
          <w:i/>
          <w:color w:val="000000"/>
        </w:rPr>
      </w:pPr>
    </w:p>
    <w:p w:rsidR="00587AA5" w:rsidRPr="00587AA5" w:rsidRDefault="00587AA5" w:rsidP="00587AA5">
      <w:pPr>
        <w:numPr>
          <w:ilvl w:val="0"/>
          <w:numId w:val="2"/>
        </w:numPr>
        <w:spacing w:line="360" w:lineRule="auto"/>
        <w:jc w:val="both"/>
        <w:rPr>
          <w:rFonts w:ascii="Arial Narrow" w:hAnsi="Arial Narrow"/>
          <w:i/>
          <w:color w:val="000000"/>
        </w:rPr>
      </w:pPr>
      <w:r>
        <w:rPr>
          <w:rFonts w:ascii="Arial Narrow" w:hAnsi="Arial Narrow"/>
        </w:rPr>
        <w:t xml:space="preserve">The Supreme Court judgment accepts that at the time of the appellant’s trial, the sentence sought entitled the appellant a right to trial by jury which was denied him. </w:t>
      </w:r>
    </w:p>
    <w:p w:rsidR="00587AA5" w:rsidRDefault="00587AA5" w:rsidP="00587AA5">
      <w:pPr>
        <w:pStyle w:val="ListParagraph"/>
        <w:rPr>
          <w:rFonts w:ascii="Arial Narrow" w:hAnsi="Arial Narrow"/>
          <w:i/>
          <w:color w:val="000000"/>
        </w:rPr>
      </w:pPr>
    </w:p>
    <w:p w:rsidR="00897A13" w:rsidRPr="00897A13" w:rsidRDefault="00897A13" w:rsidP="00897A13">
      <w:pPr>
        <w:numPr>
          <w:ilvl w:val="0"/>
          <w:numId w:val="2"/>
        </w:numPr>
        <w:spacing w:line="360" w:lineRule="auto"/>
        <w:jc w:val="both"/>
        <w:rPr>
          <w:rFonts w:ascii="Arial Narrow" w:hAnsi="Arial Narrow"/>
          <w:i/>
          <w:color w:val="000000"/>
        </w:rPr>
      </w:pPr>
      <w:r>
        <w:rPr>
          <w:rFonts w:ascii="Arial Narrow" w:hAnsi="Arial Narrow"/>
        </w:rPr>
        <w:t>Th</w:t>
      </w:r>
      <w:r w:rsidR="000C5173">
        <w:rPr>
          <w:rFonts w:ascii="Arial Narrow" w:hAnsi="Arial Narrow"/>
        </w:rPr>
        <w:t>e Supreme Court</w:t>
      </w:r>
      <w:r>
        <w:rPr>
          <w:rFonts w:ascii="Arial Narrow" w:hAnsi="Arial Narrow"/>
        </w:rPr>
        <w:t xml:space="preserve"> “corrected” </w:t>
      </w:r>
      <w:r w:rsidR="000C5173">
        <w:rPr>
          <w:rFonts w:ascii="Arial Narrow" w:hAnsi="Arial Narrow"/>
        </w:rPr>
        <w:t xml:space="preserve">this </w:t>
      </w:r>
      <w:r>
        <w:rPr>
          <w:rFonts w:ascii="Arial Narrow" w:hAnsi="Arial Narrow"/>
        </w:rPr>
        <w:t xml:space="preserve">by holding, essentially </w:t>
      </w:r>
      <w:r w:rsidRPr="00EA2D1E">
        <w:rPr>
          <w:rFonts w:ascii="Arial Narrow" w:hAnsi="Arial Narrow"/>
          <w:i/>
        </w:rPr>
        <w:t>ex cathe</w:t>
      </w:r>
      <w:r>
        <w:rPr>
          <w:rFonts w:ascii="Arial Narrow" w:hAnsi="Arial Narrow"/>
          <w:i/>
        </w:rPr>
        <w:t>d</w:t>
      </w:r>
      <w:r w:rsidRPr="00EA2D1E">
        <w:rPr>
          <w:rFonts w:ascii="Arial Narrow" w:hAnsi="Arial Narrow"/>
          <w:i/>
        </w:rPr>
        <w:t>ra</w:t>
      </w:r>
      <w:r w:rsidR="000C5173">
        <w:rPr>
          <w:rFonts w:ascii="Arial Narrow" w:hAnsi="Arial Narrow"/>
          <w:i/>
        </w:rPr>
        <w:t>,</w:t>
      </w:r>
      <w:r>
        <w:rPr>
          <w:rFonts w:ascii="Arial Narrow" w:hAnsi="Arial Narrow"/>
        </w:rPr>
        <w:t xml:space="preserve"> that th</w:t>
      </w:r>
      <w:r w:rsidR="000C5173">
        <w:rPr>
          <w:rFonts w:ascii="Arial Narrow" w:hAnsi="Arial Narrow"/>
        </w:rPr>
        <w:t>e</w:t>
      </w:r>
      <w:r>
        <w:rPr>
          <w:rFonts w:ascii="Arial Narrow" w:hAnsi="Arial Narrow"/>
        </w:rPr>
        <w:t xml:space="preserve"> position back in J</w:t>
      </w:r>
      <w:r w:rsidR="000C5173">
        <w:rPr>
          <w:rFonts w:ascii="Arial Narrow" w:hAnsi="Arial Narrow"/>
        </w:rPr>
        <w:t xml:space="preserve">anuary – </w:t>
      </w:r>
      <w:r>
        <w:rPr>
          <w:rFonts w:ascii="Arial Narrow" w:hAnsi="Arial Narrow"/>
        </w:rPr>
        <w:t>August</w:t>
      </w:r>
      <w:r w:rsidR="000C5173">
        <w:rPr>
          <w:rFonts w:ascii="Arial Narrow" w:hAnsi="Arial Narrow"/>
        </w:rPr>
        <w:t xml:space="preserve"> </w:t>
      </w:r>
      <w:r>
        <w:rPr>
          <w:rFonts w:ascii="Arial Narrow" w:hAnsi="Arial Narrow"/>
        </w:rPr>
        <w:t xml:space="preserve">2008 </w:t>
      </w:r>
      <w:r w:rsidR="000C5173">
        <w:rPr>
          <w:rFonts w:ascii="Arial Narrow" w:hAnsi="Arial Narrow"/>
        </w:rPr>
        <w:t xml:space="preserve">was different than the de facto reality </w:t>
      </w:r>
      <w:r>
        <w:rPr>
          <w:rFonts w:ascii="Arial Narrow" w:hAnsi="Arial Narrow"/>
        </w:rPr>
        <w:t xml:space="preserve">and that the seeking and imposing of sentence which exceeded </w:t>
      </w:r>
      <w:r w:rsidR="00BB7A99">
        <w:rPr>
          <w:rFonts w:ascii="Arial Narrow" w:hAnsi="Arial Narrow"/>
        </w:rPr>
        <w:t>accepted statutory limitations sans</w:t>
      </w:r>
      <w:r>
        <w:rPr>
          <w:rFonts w:ascii="Arial Narrow" w:hAnsi="Arial Narrow"/>
        </w:rPr>
        <w:t xml:space="preserve"> jury was a </w:t>
      </w:r>
      <w:r w:rsidR="000C5173">
        <w:rPr>
          <w:rFonts w:ascii="Arial Narrow" w:hAnsi="Arial Narrow"/>
        </w:rPr>
        <w:t>mere</w:t>
      </w:r>
      <w:r>
        <w:rPr>
          <w:rFonts w:ascii="Arial Narrow" w:hAnsi="Arial Narrow"/>
        </w:rPr>
        <w:t xml:space="preserve"> oversight </w:t>
      </w:r>
      <w:r w:rsidR="000C5173">
        <w:rPr>
          <w:rFonts w:ascii="Arial Narrow" w:hAnsi="Arial Narrow"/>
        </w:rPr>
        <w:t xml:space="preserve">of requisite form </w:t>
      </w:r>
      <w:r>
        <w:rPr>
          <w:rFonts w:ascii="Arial Narrow" w:hAnsi="Arial Narrow"/>
        </w:rPr>
        <w:t xml:space="preserve">by Crown and judicial officers these last 3 ½ years.  </w:t>
      </w:r>
    </w:p>
    <w:p w:rsidR="00897A13" w:rsidRDefault="00897A13" w:rsidP="00897A13">
      <w:pPr>
        <w:pStyle w:val="ListParagraph"/>
        <w:rPr>
          <w:rFonts w:ascii="Arial Narrow" w:hAnsi="Arial Narrow"/>
        </w:rPr>
      </w:pPr>
    </w:p>
    <w:p w:rsidR="005261AA" w:rsidRPr="005261AA" w:rsidRDefault="00897A13" w:rsidP="00897A13">
      <w:pPr>
        <w:numPr>
          <w:ilvl w:val="0"/>
          <w:numId w:val="2"/>
        </w:numPr>
        <w:spacing w:line="360" w:lineRule="auto"/>
        <w:jc w:val="both"/>
        <w:rPr>
          <w:rFonts w:ascii="Arial Narrow" w:hAnsi="Arial Narrow"/>
          <w:i/>
          <w:color w:val="000000"/>
        </w:rPr>
      </w:pPr>
      <w:r>
        <w:rPr>
          <w:rFonts w:ascii="Arial Narrow" w:hAnsi="Arial Narrow"/>
        </w:rPr>
        <w:t xml:space="preserve">This kind of retroactive “fix” does not address the reality that the appellant was </w:t>
      </w:r>
      <w:r w:rsidR="005261AA">
        <w:rPr>
          <w:rFonts w:ascii="Arial Narrow" w:hAnsi="Arial Narrow"/>
        </w:rPr>
        <w:t xml:space="preserve">tried and </w:t>
      </w:r>
      <w:r w:rsidR="000C5173">
        <w:rPr>
          <w:rFonts w:ascii="Arial Narrow" w:hAnsi="Arial Narrow"/>
        </w:rPr>
        <w:t>serve</w:t>
      </w:r>
      <w:r w:rsidR="005261AA">
        <w:rPr>
          <w:rFonts w:ascii="Arial Narrow" w:hAnsi="Arial Narrow"/>
        </w:rPr>
        <w:t>d</w:t>
      </w:r>
      <w:r w:rsidR="000C5173">
        <w:rPr>
          <w:rFonts w:ascii="Arial Narrow" w:hAnsi="Arial Narrow"/>
        </w:rPr>
        <w:t xml:space="preserve"> part of his sentence </w:t>
      </w:r>
      <w:r>
        <w:rPr>
          <w:rFonts w:ascii="Arial Narrow" w:hAnsi="Arial Narrow"/>
        </w:rPr>
        <w:t xml:space="preserve">under the now-accepted-to-be unlawful process.  </w:t>
      </w:r>
    </w:p>
    <w:p w:rsidR="005261AA" w:rsidRDefault="005261AA" w:rsidP="005261AA">
      <w:pPr>
        <w:pStyle w:val="ListParagraph"/>
        <w:rPr>
          <w:rFonts w:ascii="Arial Narrow" w:hAnsi="Arial Narrow"/>
        </w:rPr>
      </w:pPr>
    </w:p>
    <w:p w:rsidR="00EA2D1E" w:rsidRPr="007B6E4D" w:rsidRDefault="00BF21C8" w:rsidP="00EA2D1E">
      <w:pPr>
        <w:numPr>
          <w:ilvl w:val="0"/>
          <w:numId w:val="2"/>
        </w:numPr>
        <w:spacing w:line="360" w:lineRule="auto"/>
        <w:jc w:val="both"/>
        <w:rPr>
          <w:rFonts w:ascii="Arial Narrow" w:hAnsi="Arial Narrow"/>
          <w:i/>
          <w:color w:val="000000"/>
        </w:rPr>
      </w:pPr>
      <w:r>
        <w:rPr>
          <w:rFonts w:ascii="Arial Narrow" w:hAnsi="Arial Narrow"/>
        </w:rPr>
        <w:t>Moreover, a</w:t>
      </w:r>
      <w:r w:rsidR="00897A13">
        <w:rPr>
          <w:rFonts w:ascii="Arial Narrow" w:hAnsi="Arial Narrow"/>
        </w:rPr>
        <w:t xml:space="preserve">s </w:t>
      </w:r>
      <w:r w:rsidR="005261AA">
        <w:rPr>
          <w:rFonts w:ascii="Arial Narrow" w:hAnsi="Arial Narrow"/>
        </w:rPr>
        <w:t xml:space="preserve">challenge to </w:t>
      </w:r>
      <w:r w:rsidR="000C5173">
        <w:rPr>
          <w:rFonts w:ascii="Arial Narrow" w:hAnsi="Arial Narrow"/>
        </w:rPr>
        <w:t xml:space="preserve">length of sentence </w:t>
      </w:r>
      <w:r w:rsidR="00897A13">
        <w:rPr>
          <w:rFonts w:ascii="Arial Narrow" w:hAnsi="Arial Narrow"/>
        </w:rPr>
        <w:t xml:space="preserve">was not a ground under appeal or cross-appeal – and no submissions were made in respect to it – the appellant was denied his fundamental right to be heard.  The gravity of this is underscored by the fact that the Supreme Court </w:t>
      </w:r>
      <w:r>
        <w:rPr>
          <w:rFonts w:ascii="Arial Narrow" w:hAnsi="Arial Narrow"/>
        </w:rPr>
        <w:t xml:space="preserve">issued a </w:t>
      </w:r>
      <w:r w:rsidRPr="00BF21C8">
        <w:rPr>
          <w:rFonts w:ascii="Arial Narrow" w:hAnsi="Arial Narrow"/>
          <w:i/>
        </w:rPr>
        <w:t>new order</w:t>
      </w:r>
      <w:r>
        <w:rPr>
          <w:rFonts w:ascii="Arial Narrow" w:hAnsi="Arial Narrow"/>
        </w:rPr>
        <w:t xml:space="preserve"> </w:t>
      </w:r>
      <w:r w:rsidR="00897A13">
        <w:rPr>
          <w:rFonts w:ascii="Arial Narrow" w:hAnsi="Arial Narrow"/>
        </w:rPr>
        <w:t>impos</w:t>
      </w:r>
      <w:r>
        <w:rPr>
          <w:rFonts w:ascii="Arial Narrow" w:hAnsi="Arial Narrow"/>
        </w:rPr>
        <w:t>ing</w:t>
      </w:r>
      <w:r w:rsidR="00897A13">
        <w:rPr>
          <w:rFonts w:ascii="Arial Narrow" w:hAnsi="Arial Narrow"/>
        </w:rPr>
        <w:t xml:space="preserve"> the maximum sentence up</w:t>
      </w:r>
      <w:r>
        <w:rPr>
          <w:rFonts w:ascii="Arial Narrow" w:hAnsi="Arial Narrow"/>
        </w:rPr>
        <w:t>on th</w:t>
      </w:r>
      <w:r w:rsidR="006F0BD9">
        <w:rPr>
          <w:rFonts w:ascii="Arial Narrow" w:hAnsi="Arial Narrow"/>
        </w:rPr>
        <w:t>e appellant without allowing his counsel</w:t>
      </w:r>
      <w:r>
        <w:rPr>
          <w:rFonts w:ascii="Arial Narrow" w:hAnsi="Arial Narrow"/>
        </w:rPr>
        <w:t xml:space="preserve"> to address this issue.  </w:t>
      </w:r>
      <w:r w:rsidR="005261AA">
        <w:rPr>
          <w:rFonts w:ascii="Arial Narrow" w:hAnsi="Arial Narrow"/>
        </w:rPr>
        <w:t>Also, t</w:t>
      </w:r>
      <w:r>
        <w:rPr>
          <w:rFonts w:ascii="Arial Narrow" w:hAnsi="Arial Narrow"/>
        </w:rPr>
        <w:t xml:space="preserve">here is no </w:t>
      </w:r>
      <w:r w:rsidR="005261AA">
        <w:rPr>
          <w:rFonts w:ascii="Arial Narrow" w:hAnsi="Arial Narrow"/>
        </w:rPr>
        <w:t>analysis</w:t>
      </w:r>
      <w:r>
        <w:rPr>
          <w:rFonts w:ascii="Arial Narrow" w:hAnsi="Arial Narrow"/>
        </w:rPr>
        <w:t xml:space="preserve"> in the Supreme Court ruling justifying why the worst possible sentence is being imposed.</w:t>
      </w:r>
    </w:p>
    <w:p w:rsidR="007B6E4D" w:rsidRDefault="007B6E4D" w:rsidP="007B6E4D">
      <w:pPr>
        <w:pStyle w:val="ListParagraph"/>
        <w:rPr>
          <w:rFonts w:ascii="Arial Narrow" w:hAnsi="Arial Narrow"/>
          <w:i/>
          <w:color w:val="000000"/>
        </w:rPr>
      </w:pPr>
    </w:p>
    <w:p w:rsidR="007B6E4D" w:rsidRPr="00EA2D1E" w:rsidRDefault="007B6E4D" w:rsidP="007B6E4D">
      <w:pPr>
        <w:ind w:left="360"/>
        <w:rPr>
          <w:rFonts w:ascii="Arial Narrow" w:hAnsi="Arial Narrow"/>
        </w:rPr>
      </w:pPr>
    </w:p>
    <w:p w:rsidR="007B6E4D" w:rsidRPr="00A609C6" w:rsidRDefault="007B6E4D" w:rsidP="007B6E4D">
      <w:pPr>
        <w:numPr>
          <w:ilvl w:val="0"/>
          <w:numId w:val="2"/>
        </w:numPr>
        <w:spacing w:line="360" w:lineRule="auto"/>
        <w:jc w:val="both"/>
        <w:rPr>
          <w:rFonts w:ascii="Arial Narrow" w:hAnsi="Arial Narrow"/>
          <w:i/>
          <w:color w:val="000000"/>
        </w:rPr>
      </w:pPr>
      <w:r>
        <w:rPr>
          <w:rFonts w:ascii="Arial Narrow" w:hAnsi="Arial Narrow"/>
        </w:rPr>
        <w:t>Whether or not Supreme Court judges wish to send the appellant to prison on no evidence, the pertinent question must be whether they should be allowed to</w:t>
      </w:r>
      <w:r w:rsidR="006F0BD9">
        <w:rPr>
          <w:rFonts w:ascii="Arial Narrow" w:hAnsi="Arial Narrow"/>
        </w:rPr>
        <w:t xml:space="preserve"> do so</w:t>
      </w:r>
      <w:r w:rsidRPr="00A609C6">
        <w:rPr>
          <w:rFonts w:ascii="Arial Narrow" w:hAnsi="Arial Narrow"/>
        </w:rPr>
        <w:t>.</w:t>
      </w:r>
      <w:r>
        <w:rPr>
          <w:rFonts w:ascii="Arial Narrow" w:hAnsi="Arial Narrow"/>
        </w:rPr>
        <w:t xml:space="preserve">  In law, the appellant is still entitled to be sentenced according to legal principles.</w:t>
      </w:r>
    </w:p>
    <w:p w:rsidR="007B6E4D" w:rsidRPr="00EA2D1E" w:rsidRDefault="007B6E4D" w:rsidP="007B6E4D">
      <w:pPr>
        <w:spacing w:line="360" w:lineRule="auto"/>
        <w:jc w:val="both"/>
        <w:rPr>
          <w:rFonts w:ascii="Arial Narrow" w:hAnsi="Arial Narrow"/>
          <w:i/>
          <w:color w:val="000000"/>
        </w:rPr>
      </w:pPr>
    </w:p>
    <w:p w:rsidR="007B6E4D" w:rsidRPr="00EA2D1E" w:rsidRDefault="007B6E4D" w:rsidP="007B6E4D">
      <w:pPr>
        <w:numPr>
          <w:ilvl w:val="0"/>
          <w:numId w:val="2"/>
        </w:numPr>
        <w:spacing w:line="360" w:lineRule="auto"/>
        <w:jc w:val="both"/>
        <w:rPr>
          <w:rFonts w:ascii="Arial Narrow" w:hAnsi="Arial Narrow"/>
          <w:i/>
          <w:color w:val="000000"/>
        </w:rPr>
      </w:pPr>
      <w:r>
        <w:rPr>
          <w:rFonts w:ascii="Arial Narrow" w:hAnsi="Arial Narrow"/>
        </w:rPr>
        <w:t>That includes:</w:t>
      </w:r>
    </w:p>
    <w:p w:rsidR="007B6E4D" w:rsidRDefault="007B6E4D" w:rsidP="007B6E4D">
      <w:pPr>
        <w:spacing w:line="360" w:lineRule="auto"/>
        <w:ind w:left="720" w:firstLine="720"/>
        <w:jc w:val="both"/>
        <w:rPr>
          <w:rFonts w:ascii="Arial Narrow" w:hAnsi="Arial Narrow"/>
        </w:rPr>
      </w:pPr>
      <w:r>
        <w:rPr>
          <w:rFonts w:ascii="Arial Narrow" w:hAnsi="Arial Narrow"/>
        </w:rPr>
        <w:t>•</w:t>
      </w:r>
      <w:r>
        <w:rPr>
          <w:rFonts w:ascii="Arial Narrow" w:hAnsi="Arial Narrow"/>
        </w:rPr>
        <w:tab/>
        <w:t>The right to dispute facts not proved in the case</w:t>
      </w:r>
      <w:r w:rsidR="006F0BD9">
        <w:rPr>
          <w:rFonts w:ascii="Arial Narrow" w:hAnsi="Arial Narrow"/>
        </w:rPr>
        <w:t>.</w:t>
      </w:r>
    </w:p>
    <w:p w:rsidR="007B6E4D" w:rsidRDefault="007B6E4D" w:rsidP="007B6E4D">
      <w:pPr>
        <w:spacing w:line="360" w:lineRule="auto"/>
        <w:ind w:left="2160" w:hanging="720"/>
        <w:jc w:val="both"/>
        <w:rPr>
          <w:rFonts w:ascii="Arial Narrow" w:hAnsi="Arial Narrow"/>
        </w:rPr>
      </w:pPr>
      <w:r>
        <w:rPr>
          <w:rFonts w:ascii="Arial Narrow" w:hAnsi="Arial Narrow"/>
        </w:rPr>
        <w:t>•</w:t>
      </w:r>
      <w:r>
        <w:rPr>
          <w:rFonts w:ascii="Arial Narrow" w:hAnsi="Arial Narrow"/>
        </w:rPr>
        <w:tab/>
        <w:t xml:space="preserve">Present actions </w:t>
      </w:r>
      <w:r w:rsidR="006F0BD9">
        <w:rPr>
          <w:rFonts w:ascii="Arial Narrow" w:hAnsi="Arial Narrow"/>
        </w:rPr>
        <w:t xml:space="preserve">undertaken </w:t>
      </w:r>
      <w:r>
        <w:rPr>
          <w:rFonts w:ascii="Arial Narrow" w:hAnsi="Arial Narrow"/>
        </w:rPr>
        <w:t xml:space="preserve">to comply, including </w:t>
      </w:r>
      <w:r w:rsidRPr="00A609C6">
        <w:rPr>
          <w:rFonts w:ascii="Arial Narrow" w:hAnsi="Arial Narrow"/>
        </w:rPr>
        <w:t>the acknowledgment from the Domain Name Commissioner – who, in turn, expressly claimed concurrence from Crown Law – that the appellant was in compliance</w:t>
      </w:r>
      <w:r w:rsidR="006F0BD9">
        <w:rPr>
          <w:rFonts w:ascii="Arial Narrow" w:hAnsi="Arial Narrow"/>
        </w:rPr>
        <w:t xml:space="preserve"> of the injunction</w:t>
      </w:r>
      <w:r w:rsidRPr="00A609C6">
        <w:rPr>
          <w:rFonts w:ascii="Arial Narrow" w:hAnsi="Arial Narrow"/>
        </w:rPr>
        <w:t>.</w:t>
      </w:r>
    </w:p>
    <w:p w:rsidR="007B6E4D" w:rsidRDefault="007B6E4D" w:rsidP="007B6E4D">
      <w:pPr>
        <w:spacing w:line="360" w:lineRule="auto"/>
        <w:ind w:left="720" w:firstLine="720"/>
        <w:jc w:val="both"/>
        <w:rPr>
          <w:rFonts w:ascii="Arial Narrow" w:hAnsi="Arial Narrow"/>
        </w:rPr>
      </w:pPr>
      <w:r>
        <w:rPr>
          <w:rFonts w:ascii="Arial Narrow" w:hAnsi="Arial Narrow"/>
        </w:rPr>
        <w:t>•</w:t>
      </w:r>
      <w:r>
        <w:rPr>
          <w:rFonts w:ascii="Arial Narrow" w:hAnsi="Arial Narrow"/>
        </w:rPr>
        <w:tab/>
        <w:t>Assert motivation that mitigates.</w:t>
      </w:r>
    </w:p>
    <w:p w:rsidR="007B6E4D" w:rsidRDefault="007B6E4D" w:rsidP="007B6E4D">
      <w:pPr>
        <w:spacing w:line="360" w:lineRule="auto"/>
        <w:ind w:left="2160" w:hanging="720"/>
        <w:jc w:val="both"/>
        <w:rPr>
          <w:rFonts w:ascii="Arial Narrow" w:hAnsi="Arial Narrow"/>
        </w:rPr>
      </w:pPr>
      <w:r>
        <w:rPr>
          <w:rFonts w:ascii="Arial Narrow" w:hAnsi="Arial Narrow"/>
        </w:rPr>
        <w:t>•</w:t>
      </w:r>
      <w:r>
        <w:rPr>
          <w:rFonts w:ascii="Arial Narrow" w:hAnsi="Arial Narrow"/>
        </w:rPr>
        <w:tab/>
        <w:t>Seek help and guidance from the Courts on compliance consistent with Bill of Rights (freedom of speech) principles</w:t>
      </w:r>
    </w:p>
    <w:p w:rsidR="007B6E4D" w:rsidRDefault="007B6E4D" w:rsidP="007B6E4D">
      <w:pPr>
        <w:spacing w:line="360" w:lineRule="auto"/>
        <w:ind w:left="2160" w:hanging="720"/>
        <w:jc w:val="both"/>
        <w:rPr>
          <w:rFonts w:ascii="Arial Narrow" w:hAnsi="Arial Narrow"/>
        </w:rPr>
      </w:pPr>
      <w:r>
        <w:rPr>
          <w:rFonts w:ascii="Arial Narrow" w:hAnsi="Arial Narrow"/>
        </w:rPr>
        <w:t>•</w:t>
      </w:r>
      <w:r>
        <w:rPr>
          <w:rFonts w:ascii="Arial Narrow" w:hAnsi="Arial Narrow"/>
        </w:rPr>
        <w:tab/>
        <w:t>Look at what harm, if any</w:t>
      </w:r>
      <w:r w:rsidR="006F0BD9">
        <w:rPr>
          <w:rFonts w:ascii="Arial Narrow" w:hAnsi="Arial Narrow"/>
        </w:rPr>
        <w:t>, his accurate reporting</w:t>
      </w:r>
      <w:r>
        <w:rPr>
          <w:rFonts w:ascii="Arial Narrow" w:hAnsi="Arial Narrow"/>
        </w:rPr>
        <w:t xml:space="preserve"> has done to Mr Stiassny</w:t>
      </w:r>
    </w:p>
    <w:p w:rsidR="007B6E4D" w:rsidRDefault="007B6E4D" w:rsidP="007B6E4D">
      <w:pPr>
        <w:spacing w:line="360" w:lineRule="auto"/>
        <w:ind w:left="2160" w:hanging="720"/>
        <w:jc w:val="both"/>
        <w:rPr>
          <w:rFonts w:ascii="Arial Narrow" w:hAnsi="Arial Narrow"/>
        </w:rPr>
      </w:pPr>
      <w:r>
        <w:rPr>
          <w:rFonts w:ascii="Arial Narrow" w:hAnsi="Arial Narrow"/>
        </w:rPr>
        <w:t>•</w:t>
      </w:r>
      <w:r>
        <w:rPr>
          <w:rFonts w:ascii="Arial Narrow" w:hAnsi="Arial Narrow"/>
        </w:rPr>
        <w:tab/>
        <w:t xml:space="preserve">Look at the appellant’s own circumstances, where the Courts have prevented him from defending himself, struck out his statement of defence and twice imprisoned him for printing the provable truth about private </w:t>
      </w:r>
      <w:r w:rsidR="006F0BD9">
        <w:rPr>
          <w:rFonts w:ascii="Arial Narrow" w:hAnsi="Arial Narrow"/>
        </w:rPr>
        <w:t xml:space="preserve">sector </w:t>
      </w:r>
      <w:r>
        <w:rPr>
          <w:rFonts w:ascii="Arial Narrow" w:hAnsi="Arial Narrow"/>
        </w:rPr>
        <w:t>commercial corruption in New Zealand.</w:t>
      </w:r>
    </w:p>
    <w:p w:rsidR="007B6E4D" w:rsidRDefault="007B6E4D" w:rsidP="007B6E4D">
      <w:pPr>
        <w:spacing w:line="360" w:lineRule="auto"/>
        <w:jc w:val="both"/>
        <w:rPr>
          <w:rFonts w:ascii="Arial Narrow" w:hAnsi="Arial Narrow"/>
        </w:rPr>
      </w:pPr>
    </w:p>
    <w:p w:rsidR="007B6E4D" w:rsidRPr="002159D4" w:rsidRDefault="007B6E4D" w:rsidP="007B6E4D">
      <w:pPr>
        <w:numPr>
          <w:ilvl w:val="0"/>
          <w:numId w:val="2"/>
        </w:numPr>
        <w:spacing w:line="360" w:lineRule="auto"/>
        <w:jc w:val="both"/>
        <w:rPr>
          <w:rFonts w:ascii="Arial Narrow" w:hAnsi="Arial Narrow"/>
          <w:i/>
          <w:color w:val="000000"/>
        </w:rPr>
      </w:pPr>
      <w:r>
        <w:rPr>
          <w:rFonts w:ascii="Arial Narrow" w:hAnsi="Arial Narrow"/>
        </w:rPr>
        <w:t xml:space="preserve">Absent all this, the Supreme Court proceeded to sentence the appellant to the maximum available period. Without explanation or legal analysis the Court assumed the appellant could be serially imprisoned for all future alleged failures to comply. That compliance, in turn, is to be judged by the High Court at Auckland and includes the new provision that the appellant undertakes in writing not to breach in future.  </w:t>
      </w:r>
      <w:r w:rsidRPr="00C45B4C">
        <w:rPr>
          <w:rFonts w:ascii="Arial Narrow" w:hAnsi="Arial Narrow"/>
          <w:b/>
        </w:rPr>
        <w:t>Yet the official court record clearly demonstrates that both the High Court and Court of Appeal overstated and misapplied the gag injunction.</w:t>
      </w:r>
    </w:p>
    <w:p w:rsidR="007B6E4D" w:rsidRPr="002159D4" w:rsidRDefault="007B6E4D" w:rsidP="007B6E4D">
      <w:pPr>
        <w:spacing w:line="360" w:lineRule="auto"/>
        <w:ind w:left="720"/>
        <w:jc w:val="both"/>
        <w:rPr>
          <w:rFonts w:ascii="Arial Narrow" w:hAnsi="Arial Narrow"/>
          <w:i/>
          <w:color w:val="000000"/>
        </w:rPr>
      </w:pPr>
    </w:p>
    <w:p w:rsidR="007B6E4D" w:rsidRPr="002159D4" w:rsidRDefault="00914DC4" w:rsidP="007B6E4D">
      <w:pPr>
        <w:numPr>
          <w:ilvl w:val="0"/>
          <w:numId w:val="2"/>
        </w:numPr>
        <w:spacing w:line="360" w:lineRule="auto"/>
        <w:jc w:val="both"/>
        <w:rPr>
          <w:rFonts w:ascii="Arial Narrow" w:hAnsi="Arial Narrow"/>
          <w:i/>
          <w:color w:val="000000"/>
        </w:rPr>
      </w:pPr>
      <w:r>
        <w:rPr>
          <w:rFonts w:ascii="Arial Narrow" w:hAnsi="Arial Narrow"/>
        </w:rPr>
        <w:t>Adding s</w:t>
      </w:r>
      <w:r w:rsidR="007B6E4D">
        <w:rPr>
          <w:rFonts w:ascii="Arial Narrow" w:hAnsi="Arial Narrow"/>
        </w:rPr>
        <w:t>uch a condition is impossible because, without any cogent debate or analys</w:t>
      </w:r>
      <w:r>
        <w:rPr>
          <w:rFonts w:ascii="Arial Narrow" w:hAnsi="Arial Narrow"/>
        </w:rPr>
        <w:t>is, the Court has adopted the unsound</w:t>
      </w:r>
      <w:r w:rsidR="007B6E4D">
        <w:rPr>
          <w:rFonts w:ascii="Arial Narrow" w:hAnsi="Arial Narrow"/>
        </w:rPr>
        <w:t xml:space="preserve"> proposition that the old defamation concept of publication has been uniquely morphed in respect to internet publication – i.e. every new viewing is a new publication and therefore a new breach.</w:t>
      </w:r>
    </w:p>
    <w:p w:rsidR="007B6E4D" w:rsidRPr="002159D4" w:rsidRDefault="007B6E4D" w:rsidP="007B6E4D">
      <w:pPr>
        <w:spacing w:line="360" w:lineRule="auto"/>
        <w:jc w:val="both"/>
        <w:rPr>
          <w:rFonts w:ascii="Arial Narrow" w:hAnsi="Arial Narrow"/>
          <w:i/>
          <w:color w:val="000000"/>
        </w:rPr>
      </w:pPr>
    </w:p>
    <w:p w:rsidR="007B6E4D" w:rsidRPr="00FE7884" w:rsidRDefault="007B6E4D" w:rsidP="007B6E4D">
      <w:pPr>
        <w:numPr>
          <w:ilvl w:val="0"/>
          <w:numId w:val="2"/>
        </w:numPr>
        <w:spacing w:line="360" w:lineRule="auto"/>
        <w:jc w:val="both"/>
        <w:rPr>
          <w:rFonts w:ascii="Arial Narrow" w:hAnsi="Arial Narrow"/>
          <w:color w:val="000000"/>
        </w:rPr>
      </w:pPr>
      <w:r w:rsidRPr="00FE7884">
        <w:rPr>
          <w:rFonts w:ascii="Arial Narrow" w:hAnsi="Arial Narrow"/>
        </w:rPr>
        <w:t xml:space="preserve">Unless a sentencing Court is able to grasp that sheer impossibility of drawing back every published fragment on the </w:t>
      </w:r>
      <w:r>
        <w:rPr>
          <w:rFonts w:ascii="Arial Narrow" w:hAnsi="Arial Narrow"/>
        </w:rPr>
        <w:t xml:space="preserve">internet, they cannot properly judge </w:t>
      </w:r>
      <w:r w:rsidRPr="00FE7884">
        <w:rPr>
          <w:rFonts w:ascii="Arial Narrow" w:hAnsi="Arial Narrow"/>
        </w:rPr>
        <w:t>compliance efforts.</w:t>
      </w:r>
    </w:p>
    <w:p w:rsidR="007B6E4D" w:rsidRPr="00214715" w:rsidRDefault="007B6E4D" w:rsidP="007B6E4D">
      <w:pPr>
        <w:spacing w:line="360" w:lineRule="auto"/>
        <w:jc w:val="both"/>
        <w:rPr>
          <w:rFonts w:ascii="Arial Narrow" w:hAnsi="Arial Narrow"/>
          <w:color w:val="000000"/>
        </w:rPr>
      </w:pPr>
    </w:p>
    <w:p w:rsidR="007B6E4D" w:rsidRPr="00FE7884" w:rsidRDefault="007B6E4D" w:rsidP="007B6E4D">
      <w:pPr>
        <w:numPr>
          <w:ilvl w:val="0"/>
          <w:numId w:val="2"/>
        </w:numPr>
        <w:spacing w:line="360" w:lineRule="auto"/>
        <w:jc w:val="both"/>
        <w:rPr>
          <w:rFonts w:ascii="Arial Narrow" w:hAnsi="Arial Narrow"/>
          <w:color w:val="000000"/>
        </w:rPr>
      </w:pPr>
      <w:r>
        <w:rPr>
          <w:rFonts w:ascii="Arial Narrow" w:hAnsi="Arial Narrow"/>
        </w:rPr>
        <w:t xml:space="preserve">The Court held, following </w:t>
      </w:r>
      <w:r w:rsidRPr="00FE7884">
        <w:rPr>
          <w:rFonts w:ascii="Arial Narrow" w:hAnsi="Arial Narrow"/>
          <w:i/>
        </w:rPr>
        <w:t>Cohn</w:t>
      </w:r>
      <w:r>
        <w:rPr>
          <w:rFonts w:ascii="Arial Narrow" w:hAnsi="Arial Narrow"/>
        </w:rPr>
        <w:t xml:space="preserve">, that all this could be remedied by declaring the </w:t>
      </w:r>
      <w:r w:rsidRPr="00214715">
        <w:rPr>
          <w:rFonts w:ascii="Arial Narrow" w:hAnsi="Arial Narrow"/>
          <w:i/>
        </w:rPr>
        <w:t>sentence</w:t>
      </w:r>
      <w:r>
        <w:rPr>
          <w:rFonts w:ascii="Arial Narrow" w:hAnsi="Arial Narrow"/>
        </w:rPr>
        <w:t xml:space="preserve"> invalid.  But the appellant’s jeopardy lied in the High Court at Auckland in J</w:t>
      </w:r>
      <w:r w:rsidR="00FF2140">
        <w:rPr>
          <w:rFonts w:ascii="Arial Narrow" w:hAnsi="Arial Narrow"/>
        </w:rPr>
        <w:t>anuary</w:t>
      </w:r>
      <w:r>
        <w:rPr>
          <w:rFonts w:ascii="Arial Narrow" w:hAnsi="Arial Narrow"/>
        </w:rPr>
        <w:t>–August 2008.   Despite the – now accepted</w:t>
      </w:r>
      <w:r w:rsidR="00914DC4">
        <w:rPr>
          <w:rFonts w:ascii="Arial Narrow" w:hAnsi="Arial Narrow"/>
        </w:rPr>
        <w:t xml:space="preserve"> to be </w:t>
      </w:r>
      <w:r>
        <w:rPr>
          <w:rFonts w:ascii="Arial Narrow" w:hAnsi="Arial Narrow"/>
        </w:rPr>
        <w:t xml:space="preserve">– fundamental and legally-flawed measures, at least the appellant had a </w:t>
      </w:r>
      <w:r w:rsidR="00914DC4">
        <w:rPr>
          <w:rFonts w:ascii="Arial Narrow" w:hAnsi="Arial Narrow"/>
        </w:rPr>
        <w:t xml:space="preserve">mock </w:t>
      </w:r>
      <w:r>
        <w:rPr>
          <w:rFonts w:ascii="Arial Narrow" w:hAnsi="Arial Narrow"/>
        </w:rPr>
        <w:t>hearing on the facts there.</w:t>
      </w:r>
    </w:p>
    <w:p w:rsidR="007B6E4D" w:rsidRDefault="007B6E4D" w:rsidP="007B6E4D">
      <w:pPr>
        <w:spacing w:line="360" w:lineRule="auto"/>
        <w:jc w:val="both"/>
        <w:rPr>
          <w:rFonts w:ascii="Arial Narrow" w:hAnsi="Arial Narrow"/>
          <w:color w:val="000000"/>
        </w:rPr>
      </w:pPr>
    </w:p>
    <w:p w:rsidR="007B6E4D" w:rsidRPr="007B6E4D" w:rsidRDefault="007B6E4D" w:rsidP="007B6E4D">
      <w:pPr>
        <w:numPr>
          <w:ilvl w:val="0"/>
          <w:numId w:val="2"/>
        </w:numPr>
        <w:spacing w:line="360" w:lineRule="auto"/>
        <w:jc w:val="both"/>
        <w:rPr>
          <w:rFonts w:ascii="Arial Narrow" w:hAnsi="Arial Narrow"/>
          <w:color w:val="000000"/>
        </w:rPr>
      </w:pPr>
      <w:r>
        <w:rPr>
          <w:rFonts w:ascii="Arial Narrow" w:hAnsi="Arial Narrow"/>
        </w:rPr>
        <w:t>The new Supreme Court order “resolved” this without affording the right to address the key ingredients of the appellant’s jeopardy; namely, how bad was it, is it now, and what interests of justice are served by committing a law-abiding citizen to prison.</w:t>
      </w:r>
    </w:p>
    <w:p w:rsidR="00FE7884" w:rsidRDefault="00FE7884" w:rsidP="00FE7884">
      <w:pPr>
        <w:spacing w:line="360" w:lineRule="auto"/>
        <w:jc w:val="both"/>
        <w:rPr>
          <w:rFonts w:ascii="Arial Narrow" w:hAnsi="Arial Narrow"/>
          <w:i/>
          <w:color w:val="000000"/>
        </w:rPr>
      </w:pPr>
    </w:p>
    <w:p w:rsidR="00FE7884" w:rsidRPr="00E7066C" w:rsidRDefault="00FE7884" w:rsidP="00FE7884">
      <w:pPr>
        <w:spacing w:line="360" w:lineRule="auto"/>
        <w:jc w:val="both"/>
        <w:rPr>
          <w:rFonts w:ascii="Arial Narrow" w:hAnsi="Arial Narrow"/>
          <w:b/>
          <w:color w:val="000000"/>
        </w:rPr>
      </w:pPr>
      <w:r w:rsidRPr="00E7066C">
        <w:rPr>
          <w:rFonts w:ascii="Arial Narrow" w:hAnsi="Arial Narrow"/>
          <w:b/>
          <w:color w:val="000000"/>
        </w:rPr>
        <w:t>Remedy Sought</w:t>
      </w:r>
    </w:p>
    <w:p w:rsidR="00FE7884" w:rsidRPr="00FF2140" w:rsidRDefault="00FE7884" w:rsidP="00FE7884">
      <w:pPr>
        <w:spacing w:line="360" w:lineRule="auto"/>
        <w:jc w:val="both"/>
        <w:rPr>
          <w:rFonts w:ascii="Arial Narrow" w:hAnsi="Arial Narrow"/>
          <w:i/>
          <w:color w:val="000000"/>
          <w:sz w:val="16"/>
          <w:szCs w:val="16"/>
        </w:rPr>
      </w:pPr>
    </w:p>
    <w:p w:rsidR="008B2C8D" w:rsidRDefault="008B2C8D" w:rsidP="00FE7884">
      <w:pPr>
        <w:spacing w:line="360" w:lineRule="auto"/>
        <w:jc w:val="both"/>
        <w:rPr>
          <w:rFonts w:ascii="Arial Narrow" w:hAnsi="Arial Narrow"/>
          <w:b/>
          <w:i/>
          <w:color w:val="000000"/>
        </w:rPr>
      </w:pPr>
      <w:r w:rsidRPr="008B2C8D">
        <w:rPr>
          <w:rFonts w:ascii="Arial Narrow" w:hAnsi="Arial Narrow"/>
          <w:b/>
          <w:i/>
          <w:color w:val="000000"/>
        </w:rPr>
        <w:t>Judgment conclusions to be based upon evidence before the Court</w:t>
      </w:r>
    </w:p>
    <w:p w:rsidR="00914DC4" w:rsidRPr="008B2C8D" w:rsidRDefault="00914DC4" w:rsidP="00FE7884">
      <w:pPr>
        <w:spacing w:line="360" w:lineRule="auto"/>
        <w:jc w:val="both"/>
        <w:rPr>
          <w:rFonts w:ascii="Arial Narrow" w:hAnsi="Arial Narrow"/>
          <w:b/>
          <w:i/>
          <w:color w:val="000000"/>
        </w:rPr>
      </w:pPr>
    </w:p>
    <w:p w:rsidR="008B0B13" w:rsidRDefault="00FE7884" w:rsidP="00FE7884">
      <w:pPr>
        <w:numPr>
          <w:ilvl w:val="0"/>
          <w:numId w:val="2"/>
        </w:numPr>
        <w:spacing w:line="360" w:lineRule="auto"/>
        <w:jc w:val="both"/>
        <w:rPr>
          <w:rFonts w:ascii="Arial Narrow" w:hAnsi="Arial Narrow"/>
          <w:color w:val="000000"/>
        </w:rPr>
      </w:pPr>
      <w:r w:rsidRPr="00FE7884">
        <w:rPr>
          <w:rFonts w:ascii="Arial Narrow" w:hAnsi="Arial Narrow"/>
          <w:i/>
          <w:color w:val="000000"/>
        </w:rPr>
        <w:t xml:space="preserve"> </w:t>
      </w:r>
      <w:r w:rsidRPr="008B0B13">
        <w:rPr>
          <w:rFonts w:ascii="Arial Narrow" w:hAnsi="Arial Narrow"/>
          <w:color w:val="000000"/>
        </w:rPr>
        <w:t>As</w:t>
      </w:r>
      <w:r>
        <w:rPr>
          <w:rFonts w:ascii="Arial Narrow" w:hAnsi="Arial Narrow"/>
          <w:i/>
          <w:color w:val="000000"/>
        </w:rPr>
        <w:t xml:space="preserve"> </w:t>
      </w:r>
      <w:r w:rsidRPr="008B0B13">
        <w:rPr>
          <w:rFonts w:ascii="Arial Narrow" w:hAnsi="Arial Narrow"/>
          <w:color w:val="000000"/>
        </w:rPr>
        <w:t xml:space="preserve">the </w:t>
      </w:r>
      <w:r w:rsidR="008B2C8D">
        <w:rPr>
          <w:rFonts w:ascii="Arial Narrow" w:hAnsi="Arial Narrow"/>
          <w:color w:val="000000"/>
        </w:rPr>
        <w:t xml:space="preserve">unsafe </w:t>
      </w:r>
      <w:r w:rsidR="00A609C6">
        <w:rPr>
          <w:rFonts w:ascii="Arial Narrow" w:hAnsi="Arial Narrow"/>
          <w:color w:val="000000"/>
        </w:rPr>
        <w:t xml:space="preserve">and new </w:t>
      </w:r>
      <w:r w:rsidR="008B2C8D">
        <w:rPr>
          <w:rFonts w:ascii="Arial Narrow" w:hAnsi="Arial Narrow"/>
          <w:color w:val="000000"/>
        </w:rPr>
        <w:t>Supreme Court ruling</w:t>
      </w:r>
      <w:r w:rsidRPr="008B0B13">
        <w:rPr>
          <w:rFonts w:ascii="Arial Narrow" w:hAnsi="Arial Narrow"/>
          <w:color w:val="000000"/>
        </w:rPr>
        <w:t xml:space="preserve"> hinges </w:t>
      </w:r>
      <w:r w:rsidR="00D01FE2">
        <w:rPr>
          <w:rFonts w:ascii="Arial Narrow" w:hAnsi="Arial Narrow"/>
          <w:color w:val="000000"/>
        </w:rPr>
        <w:t xml:space="preserve">entirely </w:t>
      </w:r>
      <w:r w:rsidRPr="008B0B13">
        <w:rPr>
          <w:rFonts w:ascii="Arial Narrow" w:hAnsi="Arial Narrow"/>
          <w:color w:val="000000"/>
        </w:rPr>
        <w:t xml:space="preserve">on </w:t>
      </w:r>
      <w:r w:rsidR="008B2C8D">
        <w:rPr>
          <w:rFonts w:ascii="Arial Narrow" w:hAnsi="Arial Narrow"/>
          <w:color w:val="000000"/>
        </w:rPr>
        <w:t xml:space="preserve">the </w:t>
      </w:r>
      <w:r w:rsidRPr="008B0B13">
        <w:rPr>
          <w:rFonts w:ascii="Arial Narrow" w:hAnsi="Arial Narrow"/>
          <w:color w:val="000000"/>
        </w:rPr>
        <w:t>question of fac</w:t>
      </w:r>
      <w:r w:rsidR="008B2C8D">
        <w:rPr>
          <w:rFonts w:ascii="Arial Narrow" w:hAnsi="Arial Narrow"/>
          <w:color w:val="000000"/>
        </w:rPr>
        <w:t xml:space="preserve">t upon which leave </w:t>
      </w:r>
      <w:r w:rsidR="00914DC4">
        <w:rPr>
          <w:rFonts w:ascii="Arial Narrow" w:hAnsi="Arial Narrow"/>
          <w:color w:val="000000"/>
        </w:rPr>
        <w:t xml:space="preserve">to challenge </w:t>
      </w:r>
      <w:r w:rsidR="008B2C8D">
        <w:rPr>
          <w:rFonts w:ascii="Arial Narrow" w:hAnsi="Arial Narrow"/>
          <w:color w:val="000000"/>
        </w:rPr>
        <w:t>was granted,</w:t>
      </w:r>
      <w:r w:rsidR="00B3399C">
        <w:rPr>
          <w:rFonts w:ascii="Arial Narrow" w:hAnsi="Arial Narrow"/>
          <w:color w:val="000000"/>
        </w:rPr>
        <w:t xml:space="preserve"> but oral submissions </w:t>
      </w:r>
      <w:r w:rsidR="00D01FE2">
        <w:rPr>
          <w:rFonts w:ascii="Arial Narrow" w:hAnsi="Arial Narrow"/>
          <w:color w:val="000000"/>
        </w:rPr>
        <w:t>and evidence evaded</w:t>
      </w:r>
      <w:r w:rsidR="00B3399C">
        <w:rPr>
          <w:rFonts w:ascii="Arial Narrow" w:hAnsi="Arial Narrow"/>
          <w:color w:val="000000"/>
        </w:rPr>
        <w:t xml:space="preserve">, </w:t>
      </w:r>
      <w:r w:rsidRPr="008B0B13">
        <w:rPr>
          <w:rFonts w:ascii="Arial Narrow" w:hAnsi="Arial Narrow"/>
          <w:color w:val="000000"/>
        </w:rPr>
        <w:t>the decision</w:t>
      </w:r>
      <w:r w:rsidR="008B0B13" w:rsidRPr="008B0B13">
        <w:rPr>
          <w:rFonts w:ascii="Arial Narrow" w:hAnsi="Arial Narrow"/>
          <w:color w:val="000000"/>
        </w:rPr>
        <w:t xml:space="preserve"> </w:t>
      </w:r>
      <w:r w:rsidRPr="008B0B13">
        <w:rPr>
          <w:rFonts w:ascii="Arial Narrow" w:hAnsi="Arial Narrow"/>
          <w:color w:val="000000"/>
        </w:rPr>
        <w:t xml:space="preserve">should be recalled and the facts of </w:t>
      </w:r>
      <w:r w:rsidR="0051776E">
        <w:rPr>
          <w:rFonts w:ascii="Arial Narrow" w:hAnsi="Arial Narrow"/>
          <w:color w:val="000000"/>
        </w:rPr>
        <w:t>the cas</w:t>
      </w:r>
      <w:r w:rsidR="008B2C8D">
        <w:rPr>
          <w:rFonts w:ascii="Arial Narrow" w:hAnsi="Arial Narrow"/>
          <w:color w:val="000000"/>
        </w:rPr>
        <w:t>e determined on the</w:t>
      </w:r>
      <w:r w:rsidR="008B2C8D" w:rsidRPr="00B3399C">
        <w:rPr>
          <w:rFonts w:ascii="Arial Narrow" w:hAnsi="Arial Narrow"/>
          <w:i/>
          <w:color w:val="000000"/>
        </w:rPr>
        <w:t xml:space="preserve"> evidence </w:t>
      </w:r>
      <w:r w:rsidR="00FF2140" w:rsidRPr="00FF2140">
        <w:rPr>
          <w:rFonts w:ascii="Arial Narrow" w:hAnsi="Arial Narrow"/>
          <w:color w:val="000000"/>
        </w:rPr>
        <w:t>which is</w:t>
      </w:r>
      <w:r w:rsidR="00FF2140">
        <w:rPr>
          <w:rFonts w:ascii="Arial Narrow" w:hAnsi="Arial Narrow"/>
          <w:i/>
          <w:color w:val="000000"/>
        </w:rPr>
        <w:t xml:space="preserve"> </w:t>
      </w:r>
      <w:r w:rsidR="008B2C8D">
        <w:rPr>
          <w:rFonts w:ascii="Arial Narrow" w:hAnsi="Arial Narrow"/>
          <w:color w:val="000000"/>
        </w:rPr>
        <w:t>before the Court</w:t>
      </w:r>
      <w:r w:rsidR="00115506">
        <w:rPr>
          <w:rFonts w:ascii="Arial Narrow" w:hAnsi="Arial Narrow"/>
          <w:color w:val="000000"/>
        </w:rPr>
        <w:t>.</w:t>
      </w:r>
      <w:r w:rsidR="008B2C8D">
        <w:rPr>
          <w:rFonts w:ascii="Arial Narrow" w:hAnsi="Arial Narrow"/>
          <w:color w:val="000000"/>
        </w:rPr>
        <w:t xml:space="preserve">  </w:t>
      </w:r>
      <w:r w:rsidR="00B3399C">
        <w:rPr>
          <w:rFonts w:ascii="Arial Narrow" w:hAnsi="Arial Narrow"/>
          <w:color w:val="000000"/>
        </w:rPr>
        <w:t xml:space="preserve">If not recalled, the current Supreme Court order will send a man to prison based solely upon unsworn submissions of counsel </w:t>
      </w:r>
      <w:r w:rsidR="00D01FE2">
        <w:rPr>
          <w:rFonts w:ascii="Arial Narrow" w:hAnsi="Arial Narrow"/>
          <w:color w:val="000000"/>
        </w:rPr>
        <w:t xml:space="preserve">– submissions </w:t>
      </w:r>
      <w:r w:rsidR="00B3399C">
        <w:rPr>
          <w:rFonts w:ascii="Arial Narrow" w:hAnsi="Arial Narrow"/>
          <w:color w:val="000000"/>
        </w:rPr>
        <w:t xml:space="preserve">which now have been </w:t>
      </w:r>
      <w:r w:rsidR="00D01FE2">
        <w:rPr>
          <w:rFonts w:ascii="Arial Narrow" w:hAnsi="Arial Narrow"/>
          <w:color w:val="000000"/>
        </w:rPr>
        <w:t xml:space="preserve">evidentially </w:t>
      </w:r>
      <w:r w:rsidR="00B3399C">
        <w:rPr>
          <w:rFonts w:ascii="Arial Narrow" w:hAnsi="Arial Narrow"/>
          <w:color w:val="000000"/>
        </w:rPr>
        <w:t xml:space="preserve">shown to be materially altered and unrepresentative. </w:t>
      </w:r>
      <w:r w:rsidR="008B2C8D">
        <w:rPr>
          <w:rFonts w:ascii="Arial Narrow" w:hAnsi="Arial Narrow"/>
          <w:color w:val="000000"/>
        </w:rPr>
        <w:t xml:space="preserve">  </w:t>
      </w:r>
      <w:r w:rsidR="00B3399C">
        <w:rPr>
          <w:rFonts w:ascii="Arial Narrow" w:hAnsi="Arial Narrow"/>
          <w:color w:val="000000"/>
        </w:rPr>
        <w:t>Conversely, the evidence already before the Supreme Court – none of which was mentioned in the decision – prove</w:t>
      </w:r>
      <w:r w:rsidR="00D01FE2">
        <w:rPr>
          <w:rFonts w:ascii="Arial Narrow" w:hAnsi="Arial Narrow"/>
          <w:color w:val="000000"/>
        </w:rPr>
        <w:t>s</w:t>
      </w:r>
      <w:r w:rsidR="00B3399C">
        <w:rPr>
          <w:rFonts w:ascii="Arial Narrow" w:hAnsi="Arial Narrow"/>
          <w:color w:val="000000"/>
        </w:rPr>
        <w:t xml:space="preserve"> the appellant’s innocence.</w:t>
      </w:r>
    </w:p>
    <w:p w:rsidR="00A609C6" w:rsidRDefault="00A609C6" w:rsidP="00A609C6">
      <w:pPr>
        <w:spacing w:line="360" w:lineRule="auto"/>
        <w:ind w:left="720"/>
        <w:jc w:val="both"/>
        <w:rPr>
          <w:rFonts w:ascii="Arial Narrow" w:hAnsi="Arial Narrow"/>
          <w:color w:val="000000"/>
        </w:rPr>
      </w:pPr>
    </w:p>
    <w:p w:rsidR="00A609C6" w:rsidRDefault="00A609C6" w:rsidP="00FE7884">
      <w:pPr>
        <w:numPr>
          <w:ilvl w:val="0"/>
          <w:numId w:val="2"/>
        </w:numPr>
        <w:spacing w:line="360" w:lineRule="auto"/>
        <w:jc w:val="both"/>
        <w:rPr>
          <w:rFonts w:ascii="Arial Narrow" w:hAnsi="Arial Narrow"/>
          <w:color w:val="000000"/>
        </w:rPr>
      </w:pPr>
      <w:r>
        <w:rPr>
          <w:rFonts w:ascii="Arial Narrow" w:hAnsi="Arial Narrow"/>
          <w:color w:val="000000"/>
        </w:rPr>
        <w:t xml:space="preserve">A jury would have been required to make such a determination </w:t>
      </w:r>
      <w:r w:rsidR="00FF2140">
        <w:rPr>
          <w:rFonts w:ascii="Arial Narrow" w:hAnsi="Arial Narrow"/>
          <w:color w:val="000000"/>
        </w:rPr>
        <w:t xml:space="preserve">of fact </w:t>
      </w:r>
      <w:r>
        <w:rPr>
          <w:rFonts w:ascii="Arial Narrow" w:hAnsi="Arial Narrow"/>
          <w:color w:val="000000"/>
        </w:rPr>
        <w:t>on the relevant evidence.  Judges are no exception to this requirement.</w:t>
      </w:r>
    </w:p>
    <w:p w:rsidR="00FE7884" w:rsidRDefault="00FE7884" w:rsidP="00FE7884">
      <w:pPr>
        <w:spacing w:line="360" w:lineRule="auto"/>
        <w:jc w:val="both"/>
        <w:rPr>
          <w:rFonts w:ascii="Arial Narrow" w:hAnsi="Arial Narrow"/>
        </w:rPr>
      </w:pPr>
    </w:p>
    <w:p w:rsidR="00FE7884" w:rsidRPr="009C1F59" w:rsidRDefault="00FE7884" w:rsidP="00FE7884">
      <w:pPr>
        <w:spacing w:line="360" w:lineRule="auto"/>
        <w:jc w:val="both"/>
        <w:rPr>
          <w:rFonts w:ascii="Arial Narrow" w:hAnsi="Arial Narrow"/>
          <w:b/>
        </w:rPr>
      </w:pPr>
      <w:r w:rsidRPr="00FE7884">
        <w:rPr>
          <w:rFonts w:ascii="Arial Narrow" w:hAnsi="Arial Narrow"/>
          <w:b/>
        </w:rPr>
        <w:t>Remedy Sought</w:t>
      </w:r>
      <w:r w:rsidR="008B0B13">
        <w:rPr>
          <w:rFonts w:ascii="Arial Narrow" w:hAnsi="Arial Narrow"/>
          <w:b/>
        </w:rPr>
        <w:t xml:space="preserve"> in Respect of Sentence</w:t>
      </w:r>
    </w:p>
    <w:p w:rsidR="00FE7884" w:rsidRDefault="00FE7884" w:rsidP="00FE7884">
      <w:pPr>
        <w:spacing w:line="360" w:lineRule="auto"/>
        <w:jc w:val="both"/>
        <w:rPr>
          <w:rFonts w:ascii="Arial Narrow" w:hAnsi="Arial Narrow"/>
          <w:color w:val="000000"/>
        </w:rPr>
      </w:pPr>
    </w:p>
    <w:p w:rsidR="00FE7884" w:rsidRPr="00FE7884" w:rsidRDefault="00FE7884" w:rsidP="00FE7884">
      <w:pPr>
        <w:numPr>
          <w:ilvl w:val="0"/>
          <w:numId w:val="2"/>
        </w:numPr>
        <w:spacing w:line="360" w:lineRule="auto"/>
        <w:jc w:val="both"/>
        <w:rPr>
          <w:rFonts w:ascii="Arial Narrow" w:hAnsi="Arial Narrow"/>
          <w:color w:val="000000"/>
        </w:rPr>
      </w:pPr>
      <w:r>
        <w:rPr>
          <w:rFonts w:ascii="Arial Narrow" w:hAnsi="Arial Narrow"/>
          <w:color w:val="000000"/>
        </w:rPr>
        <w:t xml:space="preserve">All the findings in respect of resentencing be recalled and </w:t>
      </w:r>
      <w:r w:rsidR="00FF2140">
        <w:rPr>
          <w:rFonts w:ascii="Arial Narrow" w:hAnsi="Arial Narrow"/>
          <w:color w:val="000000"/>
        </w:rPr>
        <w:t xml:space="preserve">sentence reheard, on </w:t>
      </w:r>
      <w:r w:rsidR="00955843">
        <w:rPr>
          <w:rFonts w:ascii="Arial Narrow" w:hAnsi="Arial Narrow"/>
          <w:color w:val="000000"/>
        </w:rPr>
        <w:t xml:space="preserve">the </w:t>
      </w:r>
      <w:r w:rsidR="00FF2140">
        <w:rPr>
          <w:rFonts w:ascii="Arial Narrow" w:hAnsi="Arial Narrow"/>
          <w:color w:val="000000"/>
        </w:rPr>
        <w:t>evidence.  A</w:t>
      </w:r>
      <w:r>
        <w:rPr>
          <w:rFonts w:ascii="Arial Narrow" w:hAnsi="Arial Narrow"/>
          <w:color w:val="000000"/>
        </w:rPr>
        <w:t>lternatively</w:t>
      </w:r>
      <w:r w:rsidR="00955843">
        <w:rPr>
          <w:rFonts w:ascii="Arial Narrow" w:hAnsi="Arial Narrow"/>
          <w:color w:val="000000"/>
        </w:rPr>
        <w:t>,</w:t>
      </w:r>
      <w:r>
        <w:rPr>
          <w:rFonts w:ascii="Arial Narrow" w:hAnsi="Arial Narrow"/>
          <w:color w:val="000000"/>
        </w:rPr>
        <w:t xml:space="preserve"> sentencing remitted back to the High Court for </w:t>
      </w:r>
      <w:r w:rsidR="00FF2140">
        <w:rPr>
          <w:rFonts w:ascii="Arial Narrow" w:hAnsi="Arial Narrow"/>
          <w:color w:val="000000"/>
        </w:rPr>
        <w:t>determination</w:t>
      </w:r>
      <w:r>
        <w:rPr>
          <w:rFonts w:ascii="Arial Narrow" w:hAnsi="Arial Narrow"/>
          <w:color w:val="000000"/>
        </w:rPr>
        <w:t>.</w:t>
      </w:r>
    </w:p>
    <w:p w:rsidR="00126343" w:rsidRPr="00B34F9E" w:rsidRDefault="00FE7884" w:rsidP="00FE7884">
      <w:pPr>
        <w:spacing w:line="360" w:lineRule="auto"/>
        <w:jc w:val="both"/>
        <w:rPr>
          <w:rFonts w:ascii="Arial Narrow" w:hAnsi="Arial Narrow"/>
          <w:color w:val="000000"/>
        </w:rPr>
      </w:pPr>
      <w:r w:rsidRPr="00FE7884">
        <w:rPr>
          <w:rFonts w:ascii="Arial Narrow" w:hAnsi="Arial Narrow"/>
          <w:color w:val="000000"/>
        </w:rPr>
        <w:t xml:space="preserve"> </w:t>
      </w:r>
    </w:p>
    <w:p w:rsidR="00126343" w:rsidRDefault="00126343" w:rsidP="00126343">
      <w:pPr>
        <w:rPr>
          <w:rFonts w:ascii="Arial Narrow" w:hAnsi="Arial Narrow"/>
          <w:b/>
        </w:rPr>
      </w:pPr>
      <w:r>
        <w:rPr>
          <w:rFonts w:ascii="Arial Narrow" w:hAnsi="Arial Narrow"/>
          <w:b/>
        </w:rPr>
        <w:t>Further Particulars</w:t>
      </w:r>
    </w:p>
    <w:p w:rsidR="00FF2140" w:rsidRPr="006046B3" w:rsidRDefault="00FF2140" w:rsidP="008B0B13">
      <w:pPr>
        <w:spacing w:line="360" w:lineRule="auto"/>
        <w:jc w:val="both"/>
        <w:rPr>
          <w:rFonts w:ascii="Arial Narrow" w:hAnsi="Arial Narrow"/>
          <w:color w:val="000000"/>
          <w:sz w:val="16"/>
          <w:szCs w:val="16"/>
        </w:rPr>
      </w:pPr>
    </w:p>
    <w:p w:rsidR="00126343" w:rsidRDefault="006F0BD9" w:rsidP="008B0B13">
      <w:pPr>
        <w:spacing w:line="360" w:lineRule="auto"/>
        <w:jc w:val="both"/>
        <w:rPr>
          <w:rFonts w:ascii="Arial Narrow" w:hAnsi="Arial Narrow"/>
        </w:rPr>
      </w:pPr>
      <w:r>
        <w:rPr>
          <w:rFonts w:ascii="Arial Narrow" w:hAnsi="Arial Narrow"/>
        </w:rPr>
        <w:t>The appellant is</w:t>
      </w:r>
      <w:r w:rsidR="00126343" w:rsidRPr="00126343">
        <w:rPr>
          <w:rFonts w:ascii="Arial Narrow" w:hAnsi="Arial Narrow"/>
        </w:rPr>
        <w:t xml:space="preserve"> out</w:t>
      </w:r>
      <w:r w:rsidR="00914DC4">
        <w:rPr>
          <w:rFonts w:ascii="Arial Narrow" w:hAnsi="Arial Narrow"/>
        </w:rPr>
        <w:t xml:space="preserve"> of New Zealand u</w:t>
      </w:r>
      <w:r w:rsidR="00126343">
        <w:rPr>
          <w:rFonts w:ascii="Arial Narrow" w:hAnsi="Arial Narrow"/>
        </w:rPr>
        <w:t xml:space="preserve">ntil 29 June 2010. When </w:t>
      </w:r>
      <w:r w:rsidR="00914DC4">
        <w:rPr>
          <w:rFonts w:ascii="Arial Narrow" w:hAnsi="Arial Narrow"/>
        </w:rPr>
        <w:t>he</w:t>
      </w:r>
      <w:r w:rsidR="00126343">
        <w:rPr>
          <w:rFonts w:ascii="Arial Narrow" w:hAnsi="Arial Narrow"/>
        </w:rPr>
        <w:t xml:space="preserve"> left New Zealand there was no way of knowing when the Supreme Court Decision would be delivered. I</w:t>
      </w:r>
      <w:r w:rsidR="00725FB3">
        <w:rPr>
          <w:rFonts w:ascii="Arial Narrow" w:hAnsi="Arial Narrow"/>
        </w:rPr>
        <w:t>t is</w:t>
      </w:r>
      <w:r w:rsidR="00126343">
        <w:rPr>
          <w:rFonts w:ascii="Arial Narrow" w:hAnsi="Arial Narrow"/>
        </w:rPr>
        <w:t xml:space="preserve"> underst</w:t>
      </w:r>
      <w:r w:rsidR="00725FB3">
        <w:rPr>
          <w:rFonts w:ascii="Arial Narrow" w:hAnsi="Arial Narrow"/>
        </w:rPr>
        <w:t>oo</w:t>
      </w:r>
      <w:r w:rsidR="00126343">
        <w:rPr>
          <w:rFonts w:ascii="Arial Narrow" w:hAnsi="Arial Narrow"/>
        </w:rPr>
        <w:t>d that</w:t>
      </w:r>
      <w:r w:rsidR="00955843">
        <w:rPr>
          <w:rFonts w:ascii="Arial Narrow" w:hAnsi="Arial Narrow"/>
        </w:rPr>
        <w:t>,</w:t>
      </w:r>
      <w:r w:rsidR="00126343">
        <w:rPr>
          <w:rFonts w:ascii="Arial Narrow" w:hAnsi="Arial Narrow"/>
        </w:rPr>
        <w:t xml:space="preserve"> in fact</w:t>
      </w:r>
      <w:r w:rsidR="00955843">
        <w:rPr>
          <w:rFonts w:ascii="Arial Narrow" w:hAnsi="Arial Narrow"/>
        </w:rPr>
        <w:t>,</w:t>
      </w:r>
      <w:r w:rsidR="00126343">
        <w:rPr>
          <w:rFonts w:ascii="Arial Narrow" w:hAnsi="Arial Narrow"/>
        </w:rPr>
        <w:t xml:space="preserve"> only hours notice were given to Counsel.</w:t>
      </w:r>
    </w:p>
    <w:p w:rsidR="00914DC4" w:rsidRDefault="00914DC4" w:rsidP="008B0B13">
      <w:pPr>
        <w:spacing w:line="360" w:lineRule="auto"/>
        <w:jc w:val="both"/>
        <w:rPr>
          <w:rFonts w:ascii="Arial Narrow" w:hAnsi="Arial Narrow"/>
        </w:rPr>
      </w:pPr>
    </w:p>
    <w:p w:rsidR="00126343" w:rsidRDefault="00126343" w:rsidP="008B0B13">
      <w:pPr>
        <w:spacing w:line="360" w:lineRule="auto"/>
        <w:jc w:val="both"/>
        <w:rPr>
          <w:rFonts w:ascii="Arial Narrow" w:hAnsi="Arial Narrow"/>
        </w:rPr>
      </w:pPr>
      <w:r>
        <w:rPr>
          <w:rFonts w:ascii="Arial Narrow" w:hAnsi="Arial Narrow"/>
        </w:rPr>
        <w:t xml:space="preserve">Therefore, although </w:t>
      </w:r>
      <w:r w:rsidR="009C1F59">
        <w:rPr>
          <w:rFonts w:ascii="Arial Narrow" w:hAnsi="Arial Narrow"/>
        </w:rPr>
        <w:t xml:space="preserve">appellate Counsel, R M Lithgow QC </w:t>
      </w:r>
      <w:r w:rsidR="00914DC4">
        <w:rPr>
          <w:rFonts w:ascii="Arial Narrow" w:hAnsi="Arial Narrow"/>
        </w:rPr>
        <w:t>will</w:t>
      </w:r>
      <w:r w:rsidR="009C1F59">
        <w:rPr>
          <w:rFonts w:ascii="Arial Narrow" w:hAnsi="Arial Narrow"/>
        </w:rPr>
        <w:t xml:space="preserve"> be unavailable from Fri</w:t>
      </w:r>
      <w:r>
        <w:rPr>
          <w:rFonts w:ascii="Arial Narrow" w:hAnsi="Arial Narrow"/>
        </w:rPr>
        <w:t>day 11 June</w:t>
      </w:r>
      <w:r w:rsidR="00914DC4">
        <w:rPr>
          <w:rFonts w:ascii="Arial Narrow" w:hAnsi="Arial Narrow"/>
        </w:rPr>
        <w:t xml:space="preserve"> and is overseas from 15 June, the appellant has</w:t>
      </w:r>
      <w:r>
        <w:rPr>
          <w:rFonts w:ascii="Arial Narrow" w:hAnsi="Arial Narrow"/>
        </w:rPr>
        <w:t xml:space="preserve"> asked him to file this application for recall as counsel.</w:t>
      </w:r>
    </w:p>
    <w:p w:rsidR="00126343" w:rsidRDefault="00126343" w:rsidP="008B0B13">
      <w:pPr>
        <w:spacing w:line="360" w:lineRule="auto"/>
        <w:jc w:val="both"/>
        <w:rPr>
          <w:rFonts w:ascii="Arial Narrow" w:hAnsi="Arial Narrow"/>
        </w:rPr>
      </w:pPr>
    </w:p>
    <w:p w:rsidR="00126343" w:rsidRDefault="00955843" w:rsidP="00955843">
      <w:pPr>
        <w:spacing w:line="360" w:lineRule="auto"/>
        <w:jc w:val="both"/>
        <w:rPr>
          <w:rFonts w:ascii="Arial Narrow" w:hAnsi="Arial Narrow"/>
        </w:rPr>
      </w:pPr>
      <w:r>
        <w:rPr>
          <w:rFonts w:ascii="Arial Narrow" w:hAnsi="Arial Narrow"/>
        </w:rPr>
        <w:t>To find replacement counsel in a country where there is effectively no independent bar, the appellant will require so</w:t>
      </w:r>
      <w:r w:rsidR="00126343">
        <w:rPr>
          <w:rFonts w:ascii="Arial Narrow" w:hAnsi="Arial Narrow"/>
        </w:rPr>
        <w:t>me days</w:t>
      </w:r>
      <w:r>
        <w:rPr>
          <w:rFonts w:ascii="Arial Narrow" w:hAnsi="Arial Narrow"/>
        </w:rPr>
        <w:t xml:space="preserve"> of freedom of movement after his</w:t>
      </w:r>
      <w:r w:rsidR="00126343">
        <w:rPr>
          <w:rFonts w:ascii="Arial Narrow" w:hAnsi="Arial Narrow"/>
        </w:rPr>
        <w:t xml:space="preserve"> return.</w:t>
      </w:r>
    </w:p>
    <w:p w:rsidR="00126343" w:rsidRDefault="00126343" w:rsidP="00126343">
      <w:pPr>
        <w:rPr>
          <w:rFonts w:ascii="Arial Narrow" w:hAnsi="Arial Narrow"/>
        </w:rPr>
      </w:pPr>
    </w:p>
    <w:p w:rsidR="00126343" w:rsidRPr="00126343" w:rsidRDefault="00126343" w:rsidP="00126343">
      <w:pPr>
        <w:rPr>
          <w:rFonts w:ascii="Arial Narrow" w:hAnsi="Arial Narrow"/>
        </w:rPr>
      </w:pPr>
    </w:p>
    <w:p w:rsidR="00126343" w:rsidRPr="00CE2936" w:rsidRDefault="00126343" w:rsidP="00126343">
      <w:pPr>
        <w:spacing w:before="120"/>
        <w:rPr>
          <w:rFonts w:ascii="Arial Narrow" w:hAnsi="Arial Narrow"/>
        </w:rPr>
      </w:pPr>
      <w:r w:rsidRPr="00CE2936">
        <w:rPr>
          <w:rFonts w:ascii="Arial Narrow" w:hAnsi="Arial Narrow"/>
        </w:rPr>
        <w:t xml:space="preserve">Dated at </w:t>
      </w:r>
      <w:r>
        <w:rPr>
          <w:rFonts w:ascii="Arial Narrow" w:hAnsi="Arial Narrow"/>
        </w:rPr>
        <w:t xml:space="preserve">Wellington </w:t>
      </w:r>
      <w:r w:rsidRPr="00CE2936">
        <w:rPr>
          <w:rFonts w:ascii="Arial Narrow" w:hAnsi="Arial Narrow"/>
        </w:rPr>
        <w:t xml:space="preserve">this </w:t>
      </w:r>
      <w:r w:rsidRPr="00CE2936">
        <w:rPr>
          <w:rFonts w:ascii="Arial Narrow" w:hAnsi="Arial Narrow"/>
          <w:vertAlign w:val="superscript"/>
        </w:rPr>
        <w:t>th</w:t>
      </w:r>
      <w:r w:rsidRPr="00CE2936">
        <w:rPr>
          <w:rFonts w:ascii="Arial Narrow" w:hAnsi="Arial Narrow"/>
        </w:rPr>
        <w:t xml:space="preserve"> day of </w:t>
      </w:r>
      <w:r w:rsidR="008B0B13">
        <w:rPr>
          <w:rFonts w:ascii="Arial Narrow" w:hAnsi="Arial Narrow"/>
        </w:rPr>
        <w:t>June</w:t>
      </w:r>
      <w:r w:rsidRPr="00CE2936">
        <w:rPr>
          <w:rFonts w:ascii="Arial Narrow" w:hAnsi="Arial Narrow"/>
        </w:rPr>
        <w:t xml:space="preserve"> 2010.</w:t>
      </w:r>
    </w:p>
    <w:p w:rsidR="00126343" w:rsidRPr="00CE2936" w:rsidRDefault="00126343" w:rsidP="00126343">
      <w:pPr>
        <w:spacing w:before="120"/>
        <w:rPr>
          <w:rFonts w:ascii="Arial Narrow" w:hAnsi="Arial Narrow"/>
        </w:rPr>
      </w:pPr>
    </w:p>
    <w:p w:rsidR="00126343" w:rsidRPr="00CE2936" w:rsidRDefault="00126343" w:rsidP="00126343">
      <w:pPr>
        <w:spacing w:before="12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r w:rsidRPr="00CE2936">
        <w:rPr>
          <w:rFonts w:ascii="Arial Narrow" w:hAnsi="Arial Narrow"/>
        </w:rPr>
        <w:t>...................................</w:t>
      </w:r>
    </w:p>
    <w:p w:rsidR="008B0B13" w:rsidRDefault="00126343" w:rsidP="008B0B13">
      <w:pPr>
        <w:ind w:left="4320" w:firstLine="720"/>
        <w:outlineLvl w:val="0"/>
        <w:rPr>
          <w:rFonts w:ascii="Arial Narrow" w:hAnsi="Arial Narrow"/>
        </w:rPr>
      </w:pPr>
      <w:r w:rsidRPr="00CE2936">
        <w:rPr>
          <w:rFonts w:ascii="Arial Narrow" w:hAnsi="Arial Narrow"/>
        </w:rPr>
        <w:t xml:space="preserve"> Vince Siemer </w:t>
      </w:r>
      <w:r w:rsidR="008B0B13">
        <w:rPr>
          <w:rFonts w:ascii="Arial Narrow" w:hAnsi="Arial Narrow"/>
        </w:rPr>
        <w:t xml:space="preserve"> (</w:t>
      </w:r>
      <w:r w:rsidRPr="00CE2936">
        <w:rPr>
          <w:rFonts w:ascii="Arial Narrow" w:hAnsi="Arial Narrow"/>
        </w:rPr>
        <w:t>appellant</w:t>
      </w:r>
      <w:r w:rsidR="008B0B13">
        <w:rPr>
          <w:rFonts w:ascii="Arial Narrow" w:hAnsi="Arial Narrow"/>
        </w:rPr>
        <w:t>)</w:t>
      </w:r>
    </w:p>
    <w:p w:rsidR="008B0B13" w:rsidRDefault="008B0B13" w:rsidP="008B0B13">
      <w:pPr>
        <w:ind w:left="4320" w:firstLine="720"/>
        <w:outlineLvl w:val="0"/>
        <w:rPr>
          <w:rFonts w:ascii="Arial Narrow" w:hAnsi="Arial Narrow"/>
        </w:rPr>
      </w:pPr>
    </w:p>
    <w:p w:rsidR="008B0B13" w:rsidRPr="008B0B13" w:rsidRDefault="008B0B13" w:rsidP="008B0B13">
      <w:pPr>
        <w:ind w:left="4320" w:firstLine="720"/>
        <w:outlineLvl w:val="0"/>
        <w:rPr>
          <w:rFonts w:ascii="Arial Narrow" w:hAnsi="Arial Narrow"/>
          <w:i/>
        </w:rPr>
      </w:pPr>
      <w:r w:rsidRPr="008B0B13">
        <w:rPr>
          <w:rFonts w:ascii="Arial Narrow" w:hAnsi="Arial Narrow"/>
          <w:i/>
        </w:rPr>
        <w:t>By his Counsel</w:t>
      </w:r>
    </w:p>
    <w:p w:rsidR="008B0B13" w:rsidRDefault="008B0B13" w:rsidP="008B0B13">
      <w:pPr>
        <w:ind w:left="4320" w:firstLine="720"/>
        <w:outlineLvl w:val="0"/>
        <w:rPr>
          <w:rFonts w:ascii="Arial Narrow" w:hAnsi="Arial Narrow"/>
        </w:rPr>
      </w:pPr>
    </w:p>
    <w:p w:rsidR="00126343" w:rsidRPr="00CE2936" w:rsidRDefault="00126343" w:rsidP="008B0B13">
      <w:pPr>
        <w:ind w:left="4320" w:firstLine="720"/>
        <w:outlineLvl w:val="0"/>
        <w:rPr>
          <w:rFonts w:ascii="Arial Narrow" w:hAnsi="Arial Narrow"/>
        </w:rPr>
      </w:pPr>
    </w:p>
    <w:p w:rsidR="00126343" w:rsidRPr="00CE2936" w:rsidRDefault="00126343" w:rsidP="00126343">
      <w:pPr>
        <w:jc w:val="both"/>
        <w:rPr>
          <w:rFonts w:ascii="Arial Narrow" w:hAnsi="Arial Narrow"/>
        </w:rPr>
      </w:pPr>
      <w:r w:rsidRPr="00CE2936">
        <w:rPr>
          <w:rFonts w:ascii="Arial Narrow" w:hAnsi="Arial Narrow"/>
        </w:rPr>
        <w:t xml:space="preserve">CC: </w:t>
      </w:r>
      <w:r w:rsidRPr="00CE2936">
        <w:rPr>
          <w:rFonts w:ascii="Arial Narrow" w:hAnsi="Arial Narrow"/>
        </w:rPr>
        <w:tab/>
        <w:t>McElroys Lawyers</w:t>
      </w:r>
    </w:p>
    <w:p w:rsidR="00126343" w:rsidRPr="00CE2936" w:rsidRDefault="008B0B13" w:rsidP="00126343">
      <w:pPr>
        <w:jc w:val="both"/>
        <w:rPr>
          <w:rFonts w:ascii="Arial Narrow" w:hAnsi="Arial Narrow"/>
        </w:rPr>
      </w:pPr>
      <w:r>
        <w:rPr>
          <w:rFonts w:ascii="Arial Narrow" w:hAnsi="Arial Narrow"/>
        </w:rPr>
        <w:tab/>
      </w:r>
      <w:r w:rsidR="00126343" w:rsidRPr="00CE2936">
        <w:rPr>
          <w:rFonts w:ascii="Arial Narrow" w:hAnsi="Arial Narrow"/>
        </w:rPr>
        <w:t>P.O. Box 835</w:t>
      </w:r>
    </w:p>
    <w:p w:rsidR="008B0B13" w:rsidRDefault="00126343" w:rsidP="00126343">
      <w:pPr>
        <w:ind w:firstLine="720"/>
        <w:jc w:val="both"/>
        <w:rPr>
          <w:rFonts w:ascii="Arial Narrow" w:hAnsi="Arial Narrow"/>
        </w:rPr>
      </w:pPr>
      <w:r w:rsidRPr="00CE2936">
        <w:rPr>
          <w:rFonts w:ascii="Arial Narrow" w:hAnsi="Arial Narrow"/>
        </w:rPr>
        <w:t>Au</w:t>
      </w:r>
      <w:r w:rsidR="008B0B13">
        <w:rPr>
          <w:rFonts w:ascii="Arial Narrow" w:hAnsi="Arial Narrow"/>
        </w:rPr>
        <w:t xml:space="preserve">ckland, </w:t>
      </w:r>
    </w:p>
    <w:p w:rsidR="00126343" w:rsidRPr="00CE2936" w:rsidRDefault="008B0B13" w:rsidP="00126343">
      <w:pPr>
        <w:ind w:firstLine="720"/>
        <w:jc w:val="both"/>
        <w:rPr>
          <w:rFonts w:ascii="Arial Narrow" w:hAnsi="Arial Narrow"/>
        </w:rPr>
      </w:pPr>
      <w:r>
        <w:rPr>
          <w:rFonts w:ascii="Arial Narrow" w:hAnsi="Arial Narrow"/>
        </w:rPr>
        <w:t>(</w:t>
      </w:r>
      <w:r w:rsidR="00126343" w:rsidRPr="00CE2936">
        <w:rPr>
          <w:rFonts w:ascii="Arial Narrow" w:hAnsi="Arial Narrow"/>
        </w:rPr>
        <w:t>Facsimile: 09 309 7558</w:t>
      </w:r>
      <w:r>
        <w:rPr>
          <w:rFonts w:ascii="Arial Narrow" w:hAnsi="Arial Narrow"/>
        </w:rPr>
        <w:t>)</w:t>
      </w:r>
    </w:p>
    <w:p w:rsidR="00126343" w:rsidRPr="00CE2936" w:rsidRDefault="00126343" w:rsidP="00126343">
      <w:pPr>
        <w:rPr>
          <w:rFonts w:ascii="Arial Narrow" w:hAnsi="Arial Narrow"/>
        </w:rPr>
      </w:pPr>
    </w:p>
    <w:p w:rsidR="00126343" w:rsidRPr="00CE2936" w:rsidRDefault="00126343" w:rsidP="00126343">
      <w:pPr>
        <w:rPr>
          <w:rFonts w:ascii="Arial Narrow" w:hAnsi="Arial Narrow"/>
        </w:rPr>
      </w:pPr>
    </w:p>
    <w:p w:rsidR="00126343" w:rsidRPr="00CE2936" w:rsidRDefault="008B0B13" w:rsidP="00126343">
      <w:pPr>
        <w:spacing w:before="120"/>
        <w:rPr>
          <w:rFonts w:ascii="Arial Narrow" w:hAnsi="Arial Narrow"/>
        </w:rPr>
      </w:pPr>
      <w:r>
        <w:rPr>
          <w:rFonts w:ascii="Arial Narrow" w:hAnsi="Arial Narrow"/>
        </w:rPr>
        <w:t>The address for service is :</w:t>
      </w:r>
      <w:r w:rsidR="00126343" w:rsidRPr="00CE2936">
        <w:rPr>
          <w:rFonts w:ascii="Arial Narrow" w:hAnsi="Arial Narrow"/>
        </w:rPr>
        <w:t xml:space="preserve"> Vince Siemer, 27 Clansman Terrace, Gulf Harbour</w:t>
      </w:r>
    </w:p>
    <w:p w:rsidR="00126343" w:rsidRPr="00587AA5" w:rsidRDefault="00126343" w:rsidP="00587AA5">
      <w:pPr>
        <w:spacing w:before="120"/>
        <w:ind w:left="2160" w:firstLine="720"/>
        <w:rPr>
          <w:rFonts w:ascii="Arial Narrow" w:hAnsi="Arial Narrow"/>
        </w:rPr>
      </w:pPr>
      <w:r w:rsidRPr="00CE2936">
        <w:rPr>
          <w:rFonts w:ascii="Arial Narrow" w:hAnsi="Arial Narrow"/>
        </w:rPr>
        <w:t>Email: visiemer@hotmail.com</w:t>
      </w:r>
    </w:p>
    <w:p w:rsidR="00126343" w:rsidRDefault="00126343"/>
    <w:sectPr w:rsidR="00126343" w:rsidSect="00E50419">
      <w:footerReference w:type="even"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AA1" w:rsidRDefault="00003AA1" w:rsidP="00125B2C">
      <w:r>
        <w:separator/>
      </w:r>
    </w:p>
  </w:endnote>
  <w:endnote w:type="continuationSeparator" w:id="0">
    <w:p w:rsidR="00003AA1" w:rsidRDefault="00003AA1" w:rsidP="00125B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76E" w:rsidRDefault="001C71A7">
    <w:pPr>
      <w:pStyle w:val="Footer"/>
      <w:framePr w:wrap="around" w:vAnchor="text" w:hAnchor="margin" w:xAlign="center" w:y="1"/>
      <w:rPr>
        <w:rStyle w:val="PageNumber"/>
      </w:rPr>
    </w:pPr>
    <w:r>
      <w:rPr>
        <w:rStyle w:val="PageNumber"/>
      </w:rPr>
      <w:fldChar w:fldCharType="begin"/>
    </w:r>
    <w:r w:rsidR="0051776E">
      <w:rPr>
        <w:rStyle w:val="PageNumber"/>
      </w:rPr>
      <w:instrText xml:space="preserve">PAGE  </w:instrText>
    </w:r>
    <w:r>
      <w:rPr>
        <w:rStyle w:val="PageNumber"/>
      </w:rPr>
      <w:fldChar w:fldCharType="end"/>
    </w:r>
  </w:p>
  <w:p w:rsidR="0051776E" w:rsidRDefault="005177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76E" w:rsidRDefault="001C71A7">
    <w:pPr>
      <w:pStyle w:val="Footer"/>
      <w:framePr w:wrap="around" w:vAnchor="text" w:hAnchor="margin" w:xAlign="center" w:y="1"/>
      <w:rPr>
        <w:rStyle w:val="PageNumber"/>
      </w:rPr>
    </w:pPr>
    <w:r>
      <w:rPr>
        <w:rStyle w:val="PageNumber"/>
      </w:rPr>
      <w:fldChar w:fldCharType="begin"/>
    </w:r>
    <w:r w:rsidR="0051776E">
      <w:rPr>
        <w:rStyle w:val="PageNumber"/>
      </w:rPr>
      <w:instrText xml:space="preserve">PAGE  </w:instrText>
    </w:r>
    <w:r>
      <w:rPr>
        <w:rStyle w:val="PageNumber"/>
      </w:rPr>
      <w:fldChar w:fldCharType="separate"/>
    </w:r>
    <w:r w:rsidR="00003AA1">
      <w:rPr>
        <w:rStyle w:val="PageNumber"/>
        <w:noProof/>
      </w:rPr>
      <w:t>1</w:t>
    </w:r>
    <w:r>
      <w:rPr>
        <w:rStyle w:val="PageNumber"/>
      </w:rPr>
      <w:fldChar w:fldCharType="end"/>
    </w:r>
  </w:p>
  <w:p w:rsidR="0051776E" w:rsidRDefault="005177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AA1" w:rsidRDefault="00003AA1" w:rsidP="00125B2C">
      <w:r>
        <w:separator/>
      </w:r>
    </w:p>
  </w:footnote>
  <w:footnote w:type="continuationSeparator" w:id="0">
    <w:p w:rsidR="00003AA1" w:rsidRDefault="00003AA1" w:rsidP="00125B2C">
      <w:r>
        <w:continuationSeparator/>
      </w:r>
    </w:p>
  </w:footnote>
  <w:footnote w:id="1">
    <w:p w:rsidR="0051776E" w:rsidRPr="001A184C" w:rsidRDefault="0051776E" w:rsidP="00126343">
      <w:pPr>
        <w:pStyle w:val="FootnoteText"/>
        <w:rPr>
          <w:sz w:val="18"/>
          <w:szCs w:val="18"/>
          <w:lang w:val="en-US"/>
        </w:rPr>
      </w:pPr>
      <w:r w:rsidRPr="001A184C">
        <w:rPr>
          <w:rStyle w:val="FootnoteReference"/>
          <w:sz w:val="18"/>
          <w:szCs w:val="18"/>
        </w:rPr>
        <w:footnoteRef/>
      </w:r>
      <w:r w:rsidRPr="001A184C">
        <w:rPr>
          <w:sz w:val="18"/>
          <w:szCs w:val="18"/>
        </w:rPr>
        <w:t xml:space="preserve"> </w:t>
      </w:r>
      <w:r>
        <w:rPr>
          <w:sz w:val="18"/>
          <w:szCs w:val="18"/>
        </w:rPr>
        <w:t>Provided by S</w:t>
      </w:r>
      <w:r w:rsidRPr="001A184C">
        <w:rPr>
          <w:sz w:val="18"/>
          <w:szCs w:val="18"/>
        </w:rPr>
        <w:t>ection 13 of the Supreme Court Act 2003</w:t>
      </w:r>
    </w:p>
  </w:footnote>
  <w:footnote w:id="2">
    <w:p w:rsidR="00B01115" w:rsidRPr="00B01115" w:rsidRDefault="00B01115">
      <w:pPr>
        <w:pStyle w:val="FootnoteText"/>
        <w:rPr>
          <w:lang w:val="en-US"/>
        </w:rPr>
      </w:pPr>
      <w:r>
        <w:rPr>
          <w:rStyle w:val="FootnoteReference"/>
        </w:rPr>
        <w:footnoteRef/>
      </w:r>
      <w:r>
        <w:t xml:space="preserve"> </w:t>
      </w:r>
      <w:r>
        <w:rPr>
          <w:lang w:val="en-US"/>
        </w:rPr>
        <w:t>Refer to hearing transcript, SC48/2009, Wellington 2 March 2010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1A7DC7"/>
    <w:multiLevelType w:val="hybridMultilevel"/>
    <w:tmpl w:val="880EF8D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F230F9C"/>
    <w:multiLevelType w:val="hybridMultilevel"/>
    <w:tmpl w:val="880EF8D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6196A00"/>
    <w:multiLevelType w:val="hybridMultilevel"/>
    <w:tmpl w:val="C06A1CF8"/>
    <w:lvl w:ilvl="0" w:tplc="0409000F">
      <w:start w:val="1"/>
      <w:numFmt w:val="decimal"/>
      <w:lvlText w:val="%1."/>
      <w:lvlJc w:val="left"/>
      <w:pPr>
        <w:tabs>
          <w:tab w:val="num" w:pos="720"/>
        </w:tabs>
        <w:ind w:left="720" w:hanging="360"/>
      </w:pPr>
      <w:rPr>
        <w:rFonts w:hint="default"/>
      </w:rPr>
    </w:lvl>
    <w:lvl w:ilvl="1" w:tplc="CDE20DCA">
      <w:start w:val="16"/>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126343"/>
    <w:rsid w:val="000024F6"/>
    <w:rsid w:val="00003AA1"/>
    <w:rsid w:val="000B1797"/>
    <w:rsid w:val="000C5173"/>
    <w:rsid w:val="00115506"/>
    <w:rsid w:val="00125B2C"/>
    <w:rsid w:val="00126343"/>
    <w:rsid w:val="00160BF1"/>
    <w:rsid w:val="001C71A7"/>
    <w:rsid w:val="00214715"/>
    <w:rsid w:val="002159D4"/>
    <w:rsid w:val="00285ABD"/>
    <w:rsid w:val="0039365D"/>
    <w:rsid w:val="00436FA1"/>
    <w:rsid w:val="0051776E"/>
    <w:rsid w:val="005261AA"/>
    <w:rsid w:val="00571853"/>
    <w:rsid w:val="00587AA5"/>
    <w:rsid w:val="006046B3"/>
    <w:rsid w:val="00643B04"/>
    <w:rsid w:val="0067401A"/>
    <w:rsid w:val="006C2A12"/>
    <w:rsid w:val="006F0BD9"/>
    <w:rsid w:val="00725FB3"/>
    <w:rsid w:val="007B6E4D"/>
    <w:rsid w:val="00802829"/>
    <w:rsid w:val="00834536"/>
    <w:rsid w:val="00897A13"/>
    <w:rsid w:val="008B0B13"/>
    <w:rsid w:val="008B2C8D"/>
    <w:rsid w:val="008F3C35"/>
    <w:rsid w:val="00914DC4"/>
    <w:rsid w:val="00955843"/>
    <w:rsid w:val="009C1F59"/>
    <w:rsid w:val="00A609C6"/>
    <w:rsid w:val="00B00FFD"/>
    <w:rsid w:val="00B01115"/>
    <w:rsid w:val="00B3399C"/>
    <w:rsid w:val="00B77055"/>
    <w:rsid w:val="00BB7A99"/>
    <w:rsid w:val="00BF21C8"/>
    <w:rsid w:val="00C45B4C"/>
    <w:rsid w:val="00C676B6"/>
    <w:rsid w:val="00C9674E"/>
    <w:rsid w:val="00C97088"/>
    <w:rsid w:val="00CD138F"/>
    <w:rsid w:val="00D01FE2"/>
    <w:rsid w:val="00E41AD0"/>
    <w:rsid w:val="00E50419"/>
    <w:rsid w:val="00E7066C"/>
    <w:rsid w:val="00E82032"/>
    <w:rsid w:val="00EA2D1E"/>
    <w:rsid w:val="00F05D35"/>
    <w:rsid w:val="00F950C3"/>
    <w:rsid w:val="00FE7884"/>
    <w:rsid w:val="00FF2140"/>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343"/>
    <w:rPr>
      <w:rFonts w:ascii="Times New Roman" w:eastAsia="Times New Roman" w:hAnsi="Times New Roman" w:cs="Times New Roman"/>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26343"/>
    <w:pPr>
      <w:tabs>
        <w:tab w:val="center" w:pos="4153"/>
        <w:tab w:val="right" w:pos="8306"/>
      </w:tabs>
    </w:pPr>
  </w:style>
  <w:style w:type="character" w:customStyle="1" w:styleId="FooterChar">
    <w:name w:val="Footer Char"/>
    <w:basedOn w:val="DefaultParagraphFont"/>
    <w:link w:val="Footer"/>
    <w:rsid w:val="00126343"/>
    <w:rPr>
      <w:rFonts w:ascii="Times New Roman" w:eastAsia="Times New Roman" w:hAnsi="Times New Roman" w:cs="Times New Roman"/>
      <w:sz w:val="24"/>
      <w:szCs w:val="24"/>
      <w:lang w:val="en-AU"/>
    </w:rPr>
  </w:style>
  <w:style w:type="character" w:styleId="PageNumber">
    <w:name w:val="page number"/>
    <w:basedOn w:val="DefaultParagraphFont"/>
    <w:rsid w:val="00126343"/>
  </w:style>
  <w:style w:type="paragraph" w:styleId="BodyText">
    <w:name w:val="Body Text"/>
    <w:basedOn w:val="Normal"/>
    <w:link w:val="BodyTextChar"/>
    <w:rsid w:val="00126343"/>
    <w:pPr>
      <w:widowControl w:val="0"/>
      <w:pBdr>
        <w:bottom w:val="single" w:sz="12" w:space="1" w:color="auto"/>
      </w:pBdr>
      <w:autoSpaceDE w:val="0"/>
      <w:autoSpaceDN w:val="0"/>
      <w:adjustRightInd w:val="0"/>
      <w:spacing w:line="360" w:lineRule="auto"/>
      <w:jc w:val="center"/>
    </w:pPr>
    <w:rPr>
      <w:b/>
      <w:bCs/>
      <w:lang w:val="en-US"/>
    </w:rPr>
  </w:style>
  <w:style w:type="character" w:customStyle="1" w:styleId="BodyTextChar">
    <w:name w:val="Body Text Char"/>
    <w:basedOn w:val="DefaultParagraphFont"/>
    <w:link w:val="BodyText"/>
    <w:rsid w:val="00126343"/>
    <w:rPr>
      <w:rFonts w:ascii="Times New Roman" w:eastAsia="Times New Roman" w:hAnsi="Times New Roman" w:cs="Times New Roman"/>
      <w:b/>
      <w:bCs/>
      <w:sz w:val="24"/>
      <w:szCs w:val="24"/>
    </w:rPr>
  </w:style>
  <w:style w:type="paragraph" w:styleId="FootnoteText">
    <w:name w:val="footnote text"/>
    <w:basedOn w:val="Normal"/>
    <w:link w:val="FootnoteTextChar"/>
    <w:semiHidden/>
    <w:rsid w:val="00126343"/>
    <w:rPr>
      <w:sz w:val="20"/>
      <w:szCs w:val="20"/>
    </w:rPr>
  </w:style>
  <w:style w:type="character" w:customStyle="1" w:styleId="FootnoteTextChar">
    <w:name w:val="Footnote Text Char"/>
    <w:basedOn w:val="DefaultParagraphFont"/>
    <w:link w:val="FootnoteText"/>
    <w:semiHidden/>
    <w:rsid w:val="00126343"/>
    <w:rPr>
      <w:rFonts w:ascii="Times New Roman" w:eastAsia="Times New Roman" w:hAnsi="Times New Roman" w:cs="Times New Roman"/>
      <w:lang w:val="en-AU"/>
    </w:rPr>
  </w:style>
  <w:style w:type="character" w:styleId="FootnoteReference">
    <w:name w:val="footnote reference"/>
    <w:basedOn w:val="DefaultParagraphFont"/>
    <w:semiHidden/>
    <w:rsid w:val="00126343"/>
    <w:rPr>
      <w:vertAlign w:val="superscript"/>
    </w:rPr>
  </w:style>
  <w:style w:type="paragraph" w:styleId="ListParagraph">
    <w:name w:val="List Paragraph"/>
    <w:basedOn w:val="Normal"/>
    <w:uiPriority w:val="34"/>
    <w:qFormat/>
    <w:rsid w:val="00126343"/>
    <w:pPr>
      <w:ind w:left="720"/>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17751-CA00-4C8D-A3F6-1DFFBF5BF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6</Pages>
  <Words>1323</Words>
  <Characters>7546</Characters>
  <Application>Microsoft Office Word</Application>
  <DocSecurity>0</DocSecurity>
  <Lines>62</Lines>
  <Paragraphs>17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Vince Siemer  (appellant)</vt:lpstr>
      <vt:lpstr/>
      <vt:lpstr>By his Counsel</vt:lpstr>
      <vt:lpstr/>
      <vt:lpstr/>
    </vt:vector>
  </TitlesOfParts>
  <Company>Acer</Company>
  <LinksUpToDate>false</LinksUpToDate>
  <CharactersWithSpaces>8852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Lithgow</dc:creator>
  <cp:keywords/>
  <cp:lastModifiedBy>Valued Acer Customer</cp:lastModifiedBy>
  <cp:revision>4</cp:revision>
  <cp:lastPrinted>2010-06-01T03:41:00Z</cp:lastPrinted>
  <dcterms:created xsi:type="dcterms:W3CDTF">2010-06-02T04:55:00Z</dcterms:created>
  <dcterms:modified xsi:type="dcterms:W3CDTF">2010-06-05T21:42:00Z</dcterms:modified>
</cp:coreProperties>
</file>